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0C" w:rsidRPr="0001326D" w:rsidRDefault="002E690C" w:rsidP="002E690C">
      <w:pPr>
        <w:rPr>
          <w:sz w:val="24"/>
          <w:szCs w:val="24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2E690C" w:rsidRPr="0001326D" w:rsidTr="000E27BF">
        <w:trPr>
          <w:trHeight w:val="1992"/>
        </w:trPr>
        <w:tc>
          <w:tcPr>
            <w:tcW w:w="3860" w:type="dxa"/>
          </w:tcPr>
          <w:p w:rsidR="002E690C" w:rsidRPr="0001326D" w:rsidRDefault="002E690C" w:rsidP="000E27B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01326D">
              <w:rPr>
                <w:rFonts w:ascii="Century Tat" w:hAnsi="Century Tat"/>
                <w:sz w:val="24"/>
                <w:szCs w:val="24"/>
              </w:rPr>
              <w:t>Баш</w:t>
            </w:r>
            <w:r w:rsidRPr="0001326D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r w:rsidRPr="0001326D">
              <w:rPr>
                <w:rFonts w:ascii="Century Tat" w:hAnsi="Century Tat"/>
                <w:sz w:val="24"/>
                <w:szCs w:val="24"/>
              </w:rPr>
              <w:t>ортостан Республика</w:t>
            </w:r>
            <w:r w:rsidRPr="0001326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01326D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2E690C" w:rsidRPr="0001326D" w:rsidRDefault="002E690C" w:rsidP="000E27B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01326D">
              <w:rPr>
                <w:rFonts w:ascii="Century Tat" w:hAnsi="Century Tat"/>
                <w:sz w:val="24"/>
                <w:szCs w:val="24"/>
              </w:rPr>
              <w:t>Ми</w:t>
            </w:r>
            <w:r w:rsidRPr="0001326D">
              <w:rPr>
                <w:sz w:val="24"/>
                <w:szCs w:val="24"/>
                <w:lang w:val="tt-RU"/>
              </w:rPr>
              <w:t>ә</w:t>
            </w:r>
            <w:r w:rsidRPr="0001326D">
              <w:rPr>
                <w:rFonts w:ascii="Century Tat" w:hAnsi="Century Tat"/>
                <w:sz w:val="24"/>
                <w:szCs w:val="24"/>
              </w:rPr>
              <w:t>к</w:t>
            </w:r>
            <w:r w:rsidRPr="0001326D">
              <w:rPr>
                <w:sz w:val="24"/>
                <w:szCs w:val="24"/>
                <w:lang w:val="tt-RU"/>
              </w:rPr>
              <w:t>ә</w:t>
            </w:r>
            <w:r w:rsidRPr="0001326D">
              <w:rPr>
                <w:rFonts w:ascii="Century Tat" w:hAnsi="Century Tat"/>
                <w:sz w:val="24"/>
                <w:szCs w:val="24"/>
              </w:rPr>
              <w:t xml:space="preserve"> районы муниципаль районыны</w:t>
            </w:r>
            <w:r w:rsidRPr="0001326D">
              <w:rPr>
                <w:sz w:val="24"/>
                <w:szCs w:val="24"/>
                <w:lang w:val="tt-RU"/>
              </w:rPr>
              <w:t>ң</w:t>
            </w:r>
            <w:r w:rsidRPr="0001326D">
              <w:rPr>
                <w:rFonts w:ascii="Century Tat" w:hAnsi="Century Tat"/>
                <w:sz w:val="24"/>
                <w:szCs w:val="24"/>
              </w:rPr>
              <w:t xml:space="preserve"> Елд</w:t>
            </w:r>
            <w:r w:rsidRPr="0001326D">
              <w:rPr>
                <w:sz w:val="24"/>
                <w:szCs w:val="24"/>
                <w:lang w:val="tt-RU"/>
              </w:rPr>
              <w:t>ә</w:t>
            </w:r>
            <w:r w:rsidRPr="0001326D">
              <w:rPr>
                <w:rFonts w:ascii="Century Tat" w:hAnsi="Century Tat"/>
                <w:sz w:val="24"/>
                <w:szCs w:val="24"/>
              </w:rPr>
              <w:t>р ауыл советы ауыл бил</w:t>
            </w:r>
            <w:r w:rsidRPr="0001326D">
              <w:rPr>
                <w:sz w:val="24"/>
                <w:szCs w:val="24"/>
                <w:lang w:val="tt-RU"/>
              </w:rPr>
              <w:t>ә</w:t>
            </w:r>
            <w:r w:rsidRPr="0001326D">
              <w:rPr>
                <w:rFonts w:ascii="Century Tat" w:hAnsi="Century Tat"/>
                <w:sz w:val="24"/>
                <w:szCs w:val="24"/>
              </w:rPr>
              <w:t>м</w:t>
            </w:r>
            <w:r w:rsidRPr="0001326D">
              <w:rPr>
                <w:sz w:val="24"/>
                <w:szCs w:val="24"/>
                <w:lang w:val="tt-RU"/>
              </w:rPr>
              <w:t>ә</w:t>
            </w:r>
            <w:r w:rsidRPr="0001326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01326D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2E690C" w:rsidRPr="0001326D" w:rsidRDefault="002E690C" w:rsidP="000E27BF">
            <w:pPr>
              <w:jc w:val="center"/>
              <w:rPr>
                <w:sz w:val="24"/>
                <w:szCs w:val="24"/>
              </w:rPr>
            </w:pPr>
            <w:r w:rsidRPr="0001326D">
              <w:rPr>
                <w:rFonts w:ascii="Century Tat" w:hAnsi="Century Tat"/>
                <w:sz w:val="24"/>
                <w:szCs w:val="24"/>
              </w:rPr>
              <w:t>Хакими</w:t>
            </w:r>
            <w:r w:rsidRPr="0001326D">
              <w:rPr>
                <w:sz w:val="24"/>
                <w:szCs w:val="24"/>
                <w:lang w:val="tt-RU"/>
              </w:rPr>
              <w:t>ә</w:t>
            </w:r>
            <w:r w:rsidRPr="0001326D">
              <w:rPr>
                <w:rFonts w:ascii="Century Tat" w:hAnsi="Century Tat"/>
                <w:sz w:val="24"/>
                <w:szCs w:val="24"/>
              </w:rPr>
              <w:t>те</w:t>
            </w:r>
          </w:p>
          <w:p w:rsidR="002E690C" w:rsidRPr="0001326D" w:rsidRDefault="002E690C" w:rsidP="000E27B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2E690C" w:rsidRPr="0001326D" w:rsidRDefault="002E690C" w:rsidP="000E2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E690C" w:rsidRPr="0001326D" w:rsidRDefault="002E690C" w:rsidP="000E27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2E690C" w:rsidRPr="0001326D" w:rsidRDefault="002E690C" w:rsidP="000E27B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01326D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2E690C" w:rsidRPr="0001326D" w:rsidRDefault="002E690C" w:rsidP="000E27B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01326D">
              <w:rPr>
                <w:rFonts w:ascii="Century Tat" w:hAnsi="Century Tat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2E690C" w:rsidRPr="0001326D" w:rsidRDefault="002E690C" w:rsidP="000E27B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2E690C" w:rsidRPr="0001326D" w:rsidRDefault="002E690C" w:rsidP="000E27B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2E690C" w:rsidRPr="0001326D" w:rsidRDefault="002E690C" w:rsidP="002E690C">
      <w:pPr>
        <w:rPr>
          <w:sz w:val="24"/>
          <w:szCs w:val="24"/>
        </w:rPr>
      </w:pPr>
    </w:p>
    <w:p w:rsidR="002E690C" w:rsidRDefault="002E690C" w:rsidP="002E690C">
      <w:pPr>
        <w:rPr>
          <w:szCs w:val="28"/>
          <w:lang w:val="tt-RU"/>
        </w:rPr>
      </w:pPr>
      <w:r w:rsidRPr="0001326D">
        <w:rPr>
          <w:rFonts w:ascii="Century Tat" w:hAnsi="Century Tat"/>
          <w:b/>
          <w:szCs w:val="28"/>
        </w:rPr>
        <w:t xml:space="preserve">            </w:t>
      </w:r>
      <w:r w:rsidRPr="0001326D">
        <w:rPr>
          <w:szCs w:val="28"/>
          <w:lang w:val="tt-RU"/>
        </w:rPr>
        <w:t>КАРАР                                                                   ПОСТАНОВЛЕНИЕ</w:t>
      </w:r>
    </w:p>
    <w:p w:rsidR="002E690C" w:rsidRPr="0001326D" w:rsidRDefault="002E690C" w:rsidP="002E690C">
      <w:pPr>
        <w:rPr>
          <w:szCs w:val="28"/>
          <w:lang w:val="tt-RU"/>
        </w:rPr>
      </w:pPr>
    </w:p>
    <w:p w:rsidR="002E690C" w:rsidRDefault="002E690C" w:rsidP="002E690C">
      <w:pPr>
        <w:rPr>
          <w:b/>
          <w:szCs w:val="28"/>
          <w:lang w:val="tt-RU"/>
        </w:rPr>
      </w:pPr>
      <w:r>
        <w:rPr>
          <w:b/>
          <w:szCs w:val="28"/>
          <w:lang w:val="tt-RU"/>
        </w:rPr>
        <w:t>07 июль 2016 й.                                   № 30                         07 июля 2016 г.</w:t>
      </w:r>
    </w:p>
    <w:p w:rsidR="002E690C" w:rsidRDefault="002E690C" w:rsidP="002E690C">
      <w:pPr>
        <w:rPr>
          <w:b/>
          <w:szCs w:val="28"/>
          <w:lang w:val="tt-RU"/>
        </w:rPr>
      </w:pPr>
    </w:p>
    <w:p w:rsidR="002E690C" w:rsidRPr="0001326D" w:rsidRDefault="002E690C" w:rsidP="002E690C">
      <w:pPr>
        <w:rPr>
          <w:b/>
          <w:szCs w:val="28"/>
          <w:lang w:val="tt-RU"/>
        </w:rPr>
      </w:pPr>
    </w:p>
    <w:p w:rsidR="002E690C" w:rsidRPr="00985DE4" w:rsidRDefault="002E690C" w:rsidP="002E690C">
      <w:pPr>
        <w:jc w:val="center"/>
        <w:rPr>
          <w:b/>
          <w:szCs w:val="28"/>
        </w:rPr>
      </w:pPr>
      <w:r w:rsidRPr="00985DE4">
        <w:rPr>
          <w:b/>
          <w:szCs w:val="28"/>
        </w:rPr>
        <w:t>Об утверждении муниципальной программы</w:t>
      </w:r>
    </w:p>
    <w:p w:rsidR="002E690C" w:rsidRPr="00985DE4" w:rsidRDefault="002E690C" w:rsidP="002E690C">
      <w:pPr>
        <w:jc w:val="center"/>
        <w:rPr>
          <w:b/>
          <w:szCs w:val="28"/>
        </w:rPr>
      </w:pPr>
      <w:r w:rsidRPr="00985DE4">
        <w:rPr>
          <w:b/>
          <w:szCs w:val="28"/>
        </w:rPr>
        <w:t xml:space="preserve">«Патриотическое воспитание граждан сельского поселения </w:t>
      </w:r>
      <w:r>
        <w:rPr>
          <w:b/>
          <w:szCs w:val="28"/>
        </w:rPr>
        <w:t xml:space="preserve">Зильдяровский  </w:t>
      </w:r>
      <w:r w:rsidRPr="00985DE4">
        <w:rPr>
          <w:b/>
          <w:szCs w:val="28"/>
        </w:rPr>
        <w:t>сельсовет муниципального района</w:t>
      </w:r>
    </w:p>
    <w:p w:rsidR="002E690C" w:rsidRPr="00985DE4" w:rsidRDefault="002E690C" w:rsidP="002E690C">
      <w:pPr>
        <w:jc w:val="center"/>
        <w:rPr>
          <w:szCs w:val="28"/>
        </w:rPr>
      </w:pPr>
      <w:r w:rsidRPr="00985DE4">
        <w:rPr>
          <w:b/>
          <w:szCs w:val="28"/>
        </w:rPr>
        <w:t>Миякинский район Республики Башкортостан на 2016-2020 годы</w:t>
      </w:r>
      <w:r w:rsidRPr="00985DE4">
        <w:rPr>
          <w:szCs w:val="28"/>
        </w:rPr>
        <w:t>»</w:t>
      </w:r>
    </w:p>
    <w:p w:rsidR="002E690C" w:rsidRPr="00985DE4" w:rsidRDefault="002E690C" w:rsidP="002E690C">
      <w:pPr>
        <w:rPr>
          <w:szCs w:val="28"/>
        </w:rPr>
      </w:pP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  В соответствии с постановлением Правительства Российской Федерации от 30.12.2015  № 1493  «О  Государственной программе «Патриотическое воспитание</w:t>
      </w:r>
      <w:r>
        <w:rPr>
          <w:szCs w:val="28"/>
        </w:rPr>
        <w:t xml:space="preserve"> г</w:t>
      </w:r>
      <w:r w:rsidRPr="00985DE4">
        <w:rPr>
          <w:bCs/>
          <w:szCs w:val="28"/>
        </w:rPr>
        <w:t>раждан</w:t>
      </w:r>
      <w:r w:rsidRPr="00985DE4">
        <w:rPr>
          <w:szCs w:val="28"/>
        </w:rPr>
        <w:t xml:space="preserve">  Российской Федерации на 2016-2020 годы»,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район </w:t>
      </w:r>
      <w:r w:rsidRPr="00985DE4">
        <w:rPr>
          <w:spacing w:val="40"/>
          <w:szCs w:val="28"/>
        </w:rPr>
        <w:t>постановляет:</w:t>
      </w:r>
    </w:p>
    <w:p w:rsidR="002E690C" w:rsidRPr="00985DE4" w:rsidRDefault="002E690C" w:rsidP="002E690C">
      <w:pPr>
        <w:numPr>
          <w:ilvl w:val="0"/>
          <w:numId w:val="2"/>
        </w:numPr>
        <w:jc w:val="both"/>
        <w:rPr>
          <w:szCs w:val="28"/>
        </w:rPr>
      </w:pPr>
      <w:r w:rsidRPr="00985DE4">
        <w:rPr>
          <w:szCs w:val="28"/>
        </w:rPr>
        <w:t>Утвердить прилагаемую муниципальную программу «Патриотическое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Воспитание граждан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район Республики Башкортостан на 2016-2020 годы»</w:t>
      </w:r>
    </w:p>
    <w:p w:rsidR="002E690C" w:rsidRPr="00985DE4" w:rsidRDefault="002E690C" w:rsidP="002E690C">
      <w:pPr>
        <w:spacing w:after="240"/>
        <w:ind w:right="21"/>
        <w:contextualSpacing/>
        <w:jc w:val="both"/>
        <w:textAlignment w:val="top"/>
        <w:rPr>
          <w:color w:val="000000"/>
          <w:szCs w:val="28"/>
          <w:lang w:eastAsia="en-US"/>
        </w:rPr>
      </w:pPr>
      <w:r>
        <w:rPr>
          <w:szCs w:val="28"/>
        </w:rPr>
        <w:t xml:space="preserve">     2.</w:t>
      </w:r>
      <w:r w:rsidRPr="00985DE4">
        <w:rPr>
          <w:szCs w:val="28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</w:t>
      </w:r>
      <w:r w:rsidRPr="00985DE4">
        <w:rPr>
          <w:color w:val="000000"/>
          <w:szCs w:val="28"/>
          <w:lang w:eastAsia="en-US"/>
        </w:rPr>
        <w:t xml:space="preserve"> сельского поселения </w:t>
      </w:r>
      <w:r>
        <w:rPr>
          <w:color w:val="000000"/>
          <w:szCs w:val="28"/>
          <w:lang w:eastAsia="en-US"/>
        </w:rPr>
        <w:t xml:space="preserve">Зильдяровский </w:t>
      </w:r>
      <w:r w:rsidRPr="00985DE4">
        <w:rPr>
          <w:color w:val="000000"/>
          <w:szCs w:val="28"/>
          <w:lang w:eastAsia="en-US"/>
        </w:rPr>
        <w:t xml:space="preserve"> сельсовет муниципального района Миякинский район Республики Башкортостан.</w:t>
      </w:r>
    </w:p>
    <w:p w:rsidR="002E690C" w:rsidRPr="00985DE4" w:rsidRDefault="002E690C" w:rsidP="002E690C">
      <w:pPr>
        <w:spacing w:after="240"/>
        <w:ind w:right="21"/>
        <w:contextualSpacing/>
        <w:jc w:val="both"/>
        <w:textAlignment w:val="top"/>
        <w:rPr>
          <w:szCs w:val="28"/>
        </w:rPr>
      </w:pPr>
      <w:r>
        <w:rPr>
          <w:color w:val="000000"/>
          <w:szCs w:val="28"/>
          <w:lang w:eastAsia="en-US"/>
        </w:rPr>
        <w:t xml:space="preserve">      3.</w:t>
      </w:r>
      <w:r w:rsidRPr="00985DE4">
        <w:rPr>
          <w:szCs w:val="28"/>
        </w:rPr>
        <w:t xml:space="preserve">Контроль исполнения настоящего постановления возложить на специалиста второй категории администрации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</w:t>
      </w:r>
      <w:r>
        <w:rPr>
          <w:szCs w:val="28"/>
        </w:rPr>
        <w:t>Саяховой В.М.</w:t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Глава сельского поселения                                                З.З.Идрисов</w:t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Default="002E690C" w:rsidP="002E690C">
      <w:pPr>
        <w:jc w:val="right"/>
        <w:rPr>
          <w:b/>
          <w:bCs/>
          <w:szCs w:val="28"/>
        </w:rPr>
      </w:pPr>
    </w:p>
    <w:p w:rsidR="002E690C" w:rsidRDefault="002E690C" w:rsidP="002E690C">
      <w:pPr>
        <w:jc w:val="right"/>
        <w:rPr>
          <w:szCs w:val="28"/>
        </w:rPr>
      </w:pP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lastRenderedPageBreak/>
        <w:t>Приложение</w:t>
      </w: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t>Утверждена</w:t>
      </w: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t>постановлением Администрации</w:t>
      </w: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t xml:space="preserve"> сельского поселения </w:t>
      </w:r>
    </w:p>
    <w:p w:rsidR="002E690C" w:rsidRPr="00985DE4" w:rsidRDefault="002E690C" w:rsidP="002E690C">
      <w:pPr>
        <w:jc w:val="right"/>
        <w:rPr>
          <w:szCs w:val="28"/>
        </w:rPr>
      </w:pP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</w:t>
      </w: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t xml:space="preserve"> муниципального района </w:t>
      </w: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t>Миякинский район</w:t>
      </w: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t xml:space="preserve"> Республики Башкортостан</w:t>
      </w:r>
    </w:p>
    <w:p w:rsidR="002E690C" w:rsidRPr="00985DE4" w:rsidRDefault="002E690C" w:rsidP="002E690C">
      <w:pPr>
        <w:jc w:val="right"/>
        <w:rPr>
          <w:szCs w:val="28"/>
        </w:rPr>
      </w:pPr>
      <w:r w:rsidRPr="00985DE4">
        <w:rPr>
          <w:szCs w:val="28"/>
        </w:rPr>
        <w:t xml:space="preserve">от </w:t>
      </w:r>
      <w:r>
        <w:rPr>
          <w:szCs w:val="28"/>
        </w:rPr>
        <w:t>07.07.</w:t>
      </w:r>
      <w:r w:rsidRPr="00985DE4">
        <w:rPr>
          <w:szCs w:val="28"/>
        </w:rPr>
        <w:t xml:space="preserve"> 2016 года № </w:t>
      </w:r>
      <w:r>
        <w:rPr>
          <w:szCs w:val="28"/>
        </w:rPr>
        <w:t>30</w:t>
      </w:r>
    </w:p>
    <w:p w:rsidR="002E690C" w:rsidRPr="00985DE4" w:rsidRDefault="002E690C" w:rsidP="002E690C">
      <w:pPr>
        <w:jc w:val="right"/>
        <w:rPr>
          <w:b/>
          <w:bCs/>
          <w:szCs w:val="28"/>
        </w:rPr>
      </w:pPr>
    </w:p>
    <w:p w:rsidR="002E690C" w:rsidRPr="00985DE4" w:rsidRDefault="002E690C" w:rsidP="002E690C">
      <w:pPr>
        <w:jc w:val="right"/>
        <w:rPr>
          <w:b/>
          <w:bCs/>
          <w:szCs w:val="28"/>
        </w:rPr>
      </w:pPr>
    </w:p>
    <w:p w:rsidR="002E690C" w:rsidRPr="00985DE4" w:rsidRDefault="002E690C" w:rsidP="002E690C">
      <w:pPr>
        <w:jc w:val="right"/>
        <w:rPr>
          <w:b/>
          <w:bCs/>
          <w:szCs w:val="28"/>
        </w:rPr>
      </w:pPr>
    </w:p>
    <w:p w:rsidR="002E690C" w:rsidRPr="00985DE4" w:rsidRDefault="002E690C" w:rsidP="002E690C">
      <w:pPr>
        <w:jc w:val="right"/>
        <w:rPr>
          <w:b/>
          <w:bCs/>
          <w:szCs w:val="28"/>
        </w:rPr>
      </w:pPr>
    </w:p>
    <w:p w:rsidR="002E690C" w:rsidRPr="00985DE4" w:rsidRDefault="002E690C" w:rsidP="002E690C">
      <w:pPr>
        <w:jc w:val="right"/>
        <w:rPr>
          <w:b/>
          <w:bCs/>
          <w:szCs w:val="28"/>
        </w:rPr>
      </w:pPr>
    </w:p>
    <w:p w:rsidR="002E690C" w:rsidRPr="00985DE4" w:rsidRDefault="002E690C" w:rsidP="002E690C">
      <w:pPr>
        <w:jc w:val="center"/>
        <w:rPr>
          <w:b/>
          <w:bCs/>
          <w:szCs w:val="28"/>
        </w:rPr>
      </w:pPr>
      <w:r w:rsidRPr="00985DE4">
        <w:rPr>
          <w:b/>
          <w:bCs/>
          <w:szCs w:val="28"/>
        </w:rPr>
        <w:t>МУНИЦИПАЛЬНАЯ ПРОГРАММА</w:t>
      </w:r>
    </w:p>
    <w:p w:rsidR="002E690C" w:rsidRPr="00985DE4" w:rsidRDefault="002E690C" w:rsidP="002E690C">
      <w:pPr>
        <w:jc w:val="center"/>
        <w:rPr>
          <w:szCs w:val="28"/>
        </w:rPr>
      </w:pPr>
      <w:r w:rsidRPr="00985DE4">
        <w:rPr>
          <w:b/>
          <w:bCs/>
          <w:szCs w:val="28"/>
        </w:rPr>
        <w:t xml:space="preserve">«Патриотическое воспитание граждан сельского поселения </w:t>
      </w:r>
      <w:r>
        <w:rPr>
          <w:b/>
          <w:bCs/>
          <w:szCs w:val="28"/>
        </w:rPr>
        <w:t xml:space="preserve">Зильдяровский </w:t>
      </w:r>
      <w:r w:rsidRPr="00985DE4">
        <w:rPr>
          <w:b/>
          <w:bCs/>
          <w:szCs w:val="28"/>
        </w:rPr>
        <w:t xml:space="preserve"> сельсовет  муниципального района Миякинский район Республики Башкортостан на 2016-2020 годы»</w:t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85DE4">
        <w:rPr>
          <w:bCs/>
          <w:szCs w:val="28"/>
        </w:rPr>
        <w:t>Содержание</w:t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numPr>
          <w:ilvl w:val="0"/>
          <w:numId w:val="1"/>
        </w:numPr>
        <w:rPr>
          <w:szCs w:val="28"/>
        </w:rPr>
      </w:pPr>
      <w:r w:rsidRPr="00985DE4">
        <w:rPr>
          <w:szCs w:val="28"/>
        </w:rPr>
        <w:t>Паспорт программы</w:t>
      </w:r>
      <w:r w:rsidRPr="00985DE4">
        <w:rPr>
          <w:szCs w:val="28"/>
        </w:rPr>
        <w:tab/>
      </w:r>
    </w:p>
    <w:p w:rsidR="002E690C" w:rsidRPr="00985DE4" w:rsidRDefault="002E690C" w:rsidP="002E690C">
      <w:pPr>
        <w:numPr>
          <w:ilvl w:val="0"/>
          <w:numId w:val="1"/>
        </w:numPr>
        <w:rPr>
          <w:szCs w:val="28"/>
        </w:rPr>
      </w:pPr>
      <w:r w:rsidRPr="00985DE4">
        <w:rPr>
          <w:szCs w:val="28"/>
        </w:rPr>
        <w:t>Введение</w:t>
      </w:r>
      <w:r w:rsidRPr="00985DE4">
        <w:rPr>
          <w:szCs w:val="28"/>
        </w:rPr>
        <w:tab/>
      </w:r>
    </w:p>
    <w:p w:rsidR="002E690C" w:rsidRPr="00985DE4" w:rsidRDefault="002E690C" w:rsidP="002E690C">
      <w:pPr>
        <w:numPr>
          <w:ilvl w:val="0"/>
          <w:numId w:val="1"/>
        </w:numPr>
        <w:rPr>
          <w:szCs w:val="28"/>
        </w:rPr>
      </w:pPr>
      <w:r w:rsidRPr="00985DE4">
        <w:rPr>
          <w:szCs w:val="28"/>
        </w:rPr>
        <w:t>Цель и задачи Программы</w:t>
      </w:r>
      <w:r w:rsidRPr="00985DE4">
        <w:rPr>
          <w:szCs w:val="28"/>
        </w:rPr>
        <w:tab/>
      </w:r>
      <w:r w:rsidRPr="00985DE4">
        <w:rPr>
          <w:szCs w:val="28"/>
        </w:rPr>
        <w:tab/>
      </w:r>
      <w:r w:rsidRPr="00985DE4">
        <w:rPr>
          <w:szCs w:val="28"/>
        </w:rPr>
        <w:tab/>
      </w:r>
    </w:p>
    <w:p w:rsidR="002E690C" w:rsidRPr="00985DE4" w:rsidRDefault="002E690C" w:rsidP="002E690C">
      <w:pPr>
        <w:numPr>
          <w:ilvl w:val="0"/>
          <w:numId w:val="1"/>
        </w:numPr>
        <w:rPr>
          <w:szCs w:val="28"/>
        </w:rPr>
      </w:pPr>
      <w:r w:rsidRPr="00985DE4">
        <w:rPr>
          <w:szCs w:val="28"/>
        </w:rPr>
        <w:t>Механизм реализации Программы</w:t>
      </w:r>
      <w:r w:rsidRPr="00985DE4">
        <w:rPr>
          <w:szCs w:val="28"/>
        </w:rPr>
        <w:tab/>
      </w:r>
    </w:p>
    <w:p w:rsidR="002E690C" w:rsidRPr="00985DE4" w:rsidRDefault="002E690C" w:rsidP="002E690C">
      <w:pPr>
        <w:numPr>
          <w:ilvl w:val="0"/>
          <w:numId w:val="1"/>
        </w:numPr>
        <w:rPr>
          <w:szCs w:val="28"/>
        </w:rPr>
      </w:pPr>
      <w:r w:rsidRPr="00985DE4">
        <w:rPr>
          <w:szCs w:val="28"/>
        </w:rPr>
        <w:t>Ожидаемые результаты реализации Программы</w:t>
      </w:r>
    </w:p>
    <w:p w:rsidR="002E690C" w:rsidRPr="00985DE4" w:rsidRDefault="002E690C" w:rsidP="002E690C">
      <w:pPr>
        <w:numPr>
          <w:ilvl w:val="0"/>
          <w:numId w:val="1"/>
        </w:numPr>
        <w:jc w:val="both"/>
        <w:rPr>
          <w:szCs w:val="28"/>
        </w:rPr>
      </w:pPr>
      <w:r w:rsidRPr="00985DE4">
        <w:rPr>
          <w:szCs w:val="28"/>
        </w:rPr>
        <w:t xml:space="preserve">Мероприятия по реализации муниципальной программы «Патриотическое воспитание граждан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район Республики Башкортостан на 2016-2020 годы»</w:t>
      </w:r>
      <w:r w:rsidRPr="00985DE4">
        <w:rPr>
          <w:szCs w:val="28"/>
        </w:rPr>
        <w:tab/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numPr>
          <w:ilvl w:val="0"/>
          <w:numId w:val="4"/>
        </w:numPr>
        <w:jc w:val="both"/>
        <w:rPr>
          <w:szCs w:val="28"/>
        </w:rPr>
      </w:pPr>
      <w:r w:rsidRPr="00985DE4">
        <w:rPr>
          <w:szCs w:val="28"/>
        </w:rPr>
        <w:t xml:space="preserve">Паспорт муниципальной программы «Патриотическое воспитание граждан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район Республики Башкортостан на 2016-2020 годы»</w:t>
      </w:r>
      <w:r w:rsidRPr="00985DE4">
        <w:rPr>
          <w:szCs w:val="28"/>
        </w:rPr>
        <w:tab/>
      </w:r>
    </w:p>
    <w:p w:rsidR="002E690C" w:rsidRPr="00985DE4" w:rsidRDefault="002E690C" w:rsidP="002E690C">
      <w:pPr>
        <w:ind w:left="1095"/>
        <w:jc w:val="both"/>
        <w:rPr>
          <w:szCs w:val="28"/>
        </w:rPr>
      </w:pPr>
    </w:p>
    <w:tbl>
      <w:tblPr>
        <w:tblW w:w="0" w:type="auto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2E690C" w:rsidRPr="00985DE4" w:rsidTr="000E27BF">
        <w:trPr>
          <w:trHeight w:val="1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 xml:space="preserve">   Муниципальная программа «Патриотическое воспитание граждан сельского поселения </w:t>
            </w:r>
            <w:r>
              <w:rPr>
                <w:szCs w:val="28"/>
              </w:rPr>
              <w:t xml:space="preserve">Зильдяровский </w:t>
            </w:r>
            <w:r w:rsidRPr="00985DE4">
              <w:rPr>
                <w:szCs w:val="28"/>
              </w:rPr>
              <w:t xml:space="preserve"> сельсовет муниципального района Миякинский район Республики Башкортостан на 2016-2020 годы»</w:t>
            </w:r>
            <w:r w:rsidRPr="00985DE4">
              <w:rPr>
                <w:szCs w:val="28"/>
              </w:rPr>
              <w:tab/>
            </w:r>
          </w:p>
        </w:tc>
      </w:tr>
      <w:tr w:rsidR="002E690C" w:rsidRPr="00985DE4" w:rsidTr="000E27BF">
        <w:trPr>
          <w:trHeight w:val="2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 xml:space="preserve">  Федеральный закон «Об общих принципах организации местного самоуправления в Российской Федерации»; 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2016 - 2020 годы».</w:t>
            </w:r>
          </w:p>
        </w:tc>
      </w:tr>
      <w:tr w:rsidR="002E690C" w:rsidRPr="00985DE4" w:rsidTr="000E27BF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spacing w:line="260" w:lineRule="exact"/>
              <w:rPr>
                <w:szCs w:val="28"/>
              </w:rPr>
            </w:pPr>
            <w:r w:rsidRPr="00985DE4">
              <w:rPr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 xml:space="preserve">  Администрация сельского поселения </w:t>
            </w:r>
            <w:r>
              <w:rPr>
                <w:szCs w:val="28"/>
              </w:rPr>
              <w:t xml:space="preserve">Зильдяровский </w:t>
            </w:r>
            <w:r w:rsidRPr="00985DE4">
              <w:rPr>
                <w:szCs w:val="28"/>
              </w:rPr>
              <w:t xml:space="preserve"> сельсовет муниципального района Миякинский  район Республики Башкортостан.</w:t>
            </w:r>
          </w:p>
        </w:tc>
      </w:tr>
      <w:tr w:rsidR="002E690C" w:rsidRPr="00985DE4" w:rsidTr="000E27BF">
        <w:trPr>
          <w:trHeight w:val="1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 xml:space="preserve">  Администрация сельского поселения </w:t>
            </w:r>
            <w:r>
              <w:rPr>
                <w:szCs w:val="28"/>
              </w:rPr>
              <w:t xml:space="preserve">Зильдяровский </w:t>
            </w:r>
            <w:r w:rsidRPr="00985DE4">
              <w:rPr>
                <w:szCs w:val="28"/>
              </w:rPr>
              <w:t xml:space="preserve"> сельсовет муниципального района Миякинский  район Республики Башкортостан.</w:t>
            </w:r>
          </w:p>
        </w:tc>
      </w:tr>
      <w:tr w:rsidR="002E690C" w:rsidRPr="00985DE4" w:rsidTr="000E27BF">
        <w:trPr>
          <w:trHeight w:val="1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spacing w:line="260" w:lineRule="exact"/>
              <w:rPr>
                <w:szCs w:val="28"/>
              </w:rPr>
            </w:pPr>
            <w:r w:rsidRPr="00985DE4">
              <w:rPr>
                <w:szCs w:val="28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 xml:space="preserve">   Развитие и совершенствование системы патриотического воспитания граждан сельского поселения </w:t>
            </w:r>
            <w:r>
              <w:rPr>
                <w:szCs w:val="28"/>
              </w:rPr>
              <w:t xml:space="preserve">Зильдяровский </w:t>
            </w:r>
            <w:r w:rsidRPr="00985DE4">
              <w:rPr>
                <w:szCs w:val="28"/>
              </w:rPr>
              <w:t xml:space="preserve"> сельсовет.</w:t>
            </w:r>
          </w:p>
        </w:tc>
      </w:tr>
      <w:tr w:rsidR="002E690C" w:rsidRPr="00985DE4" w:rsidTr="000E27BF">
        <w:trPr>
          <w:trHeight w:val="6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spacing w:line="260" w:lineRule="exact"/>
              <w:jc w:val="both"/>
              <w:rPr>
                <w:szCs w:val="28"/>
              </w:rPr>
            </w:pPr>
            <w:r w:rsidRPr="00985DE4">
              <w:rPr>
                <w:szCs w:val="28"/>
              </w:rPr>
              <w:t>Основные задачи Программы</w:t>
            </w:r>
          </w:p>
          <w:p w:rsidR="002E690C" w:rsidRPr="00985DE4" w:rsidRDefault="002E690C" w:rsidP="000E27BF">
            <w:pPr>
              <w:spacing w:line="80" w:lineRule="exact"/>
              <w:jc w:val="both"/>
              <w:rPr>
                <w:szCs w:val="28"/>
              </w:rPr>
            </w:pPr>
          </w:p>
          <w:p w:rsidR="002E690C" w:rsidRPr="00985DE4" w:rsidRDefault="002E690C" w:rsidP="000E27BF">
            <w:pPr>
              <w:spacing w:line="110" w:lineRule="exact"/>
              <w:jc w:val="both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85DE4">
              <w:rPr>
                <w:szCs w:val="28"/>
              </w:rPr>
              <w:t xml:space="preserve"> совершенствование методического и информационного обеспечения функционирования системы патриотического воспитания граждан;</w:t>
            </w:r>
          </w:p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>-формирование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>-привлечение к участию в патриотическом воспитании общественные организации, трудовые коллективы, отдельных граждан;</w:t>
            </w:r>
          </w:p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>-повышение качества патриотического воспитания в образовательных учреждениях, превратив их в центры патриотического воспитания подрастающего поколения; ( по согласованию)</w:t>
            </w:r>
          </w:p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>-развитие материально-технической базы патриотического воспитания в образовательных учреждениях, трудовых,</w:t>
            </w:r>
          </w:p>
        </w:tc>
      </w:tr>
    </w:tbl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auto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6100"/>
      </w:tblGrid>
      <w:tr w:rsidR="002E690C" w:rsidRPr="00985DE4" w:rsidTr="000E27BF">
        <w:trPr>
          <w:trHeight w:val="68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rPr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творческих коллективах и общественных объединениях. ( по согласованию)</w:t>
            </w:r>
          </w:p>
        </w:tc>
      </w:tr>
      <w:tr w:rsidR="002E690C" w:rsidRPr="00985DE4" w:rsidTr="000E27BF">
        <w:trPr>
          <w:trHeight w:val="260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spacing w:line="260" w:lineRule="exact"/>
              <w:rPr>
                <w:szCs w:val="28"/>
              </w:rPr>
            </w:pPr>
            <w:r w:rsidRPr="00985DE4">
              <w:rPr>
                <w:szCs w:val="28"/>
              </w:rPr>
              <w:t>Исполнители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 xml:space="preserve">Зильдяровский  </w:t>
            </w:r>
            <w:r w:rsidRPr="00985DE4">
              <w:rPr>
                <w:szCs w:val="28"/>
              </w:rPr>
              <w:t xml:space="preserve">сельсовет муниципального района Миякинский </w:t>
            </w:r>
            <w:r>
              <w:rPr>
                <w:szCs w:val="28"/>
              </w:rPr>
              <w:t xml:space="preserve"> район Республики Башкортостан</w:t>
            </w:r>
            <w:r w:rsidRPr="00985DE4">
              <w:rPr>
                <w:szCs w:val="28"/>
              </w:rPr>
              <w:t xml:space="preserve">, МОБУ СОШ с. </w:t>
            </w:r>
            <w:r>
              <w:rPr>
                <w:szCs w:val="28"/>
              </w:rPr>
              <w:t>Сатыево</w:t>
            </w:r>
            <w:r w:rsidRPr="00985DE4">
              <w:rPr>
                <w:szCs w:val="28"/>
              </w:rPr>
              <w:t xml:space="preserve"> (по согласованию), СДК с. </w:t>
            </w:r>
            <w:r>
              <w:rPr>
                <w:szCs w:val="28"/>
              </w:rPr>
              <w:t>Сатыево,с.Баязитово,</w:t>
            </w:r>
            <w:r w:rsidRPr="00985DE4">
              <w:rPr>
                <w:szCs w:val="28"/>
              </w:rPr>
              <w:t xml:space="preserve"> библиотека с. </w:t>
            </w:r>
            <w:r>
              <w:rPr>
                <w:szCs w:val="28"/>
              </w:rPr>
              <w:t>Сатыево, с.Баязитово</w:t>
            </w:r>
            <w:r w:rsidRPr="00985DE4">
              <w:rPr>
                <w:szCs w:val="28"/>
              </w:rPr>
              <w:t xml:space="preserve"> (по согласованию)</w:t>
            </w:r>
          </w:p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>, Отдел военного комиссариата по Стерлибашевскому и Миякинскому районам (по согласованию)</w:t>
            </w:r>
          </w:p>
        </w:tc>
      </w:tr>
      <w:tr w:rsidR="002E690C" w:rsidRPr="00985DE4" w:rsidTr="000E27BF">
        <w:trPr>
          <w:trHeight w:val="66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spacing w:line="260" w:lineRule="exact"/>
              <w:rPr>
                <w:szCs w:val="28"/>
              </w:rPr>
            </w:pPr>
            <w:r w:rsidRPr="00985DE4">
              <w:rPr>
                <w:szCs w:val="28"/>
              </w:rPr>
              <w:t>Сроки реализации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Реализация мероприятий Программы осуществляется в периоде 2016-2020 годы</w:t>
            </w:r>
          </w:p>
        </w:tc>
      </w:tr>
      <w:tr w:rsidR="002E690C" w:rsidRPr="00985DE4" w:rsidTr="000E27BF">
        <w:trPr>
          <w:trHeight w:val="265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>Общий объем финансирования программы на 2016-2020 годы за счет средств бюджета сельского поселения - 5000,0 тыс. рублей, в том числе:</w:t>
            </w:r>
          </w:p>
          <w:p w:rsidR="002E690C" w:rsidRPr="00985DE4" w:rsidRDefault="002E690C" w:rsidP="002E690C">
            <w:pPr>
              <w:numPr>
                <w:ilvl w:val="0"/>
                <w:numId w:val="3"/>
              </w:numPr>
              <w:rPr>
                <w:szCs w:val="28"/>
              </w:rPr>
            </w:pPr>
            <w:r w:rsidRPr="00985DE4">
              <w:rPr>
                <w:szCs w:val="28"/>
              </w:rPr>
              <w:t xml:space="preserve">год - 1000,0 тыс. рублей </w:t>
            </w:r>
          </w:p>
          <w:p w:rsidR="002E690C" w:rsidRPr="00985DE4" w:rsidRDefault="002E690C" w:rsidP="002E690C">
            <w:pPr>
              <w:numPr>
                <w:ilvl w:val="0"/>
                <w:numId w:val="3"/>
              </w:numPr>
              <w:rPr>
                <w:szCs w:val="28"/>
              </w:rPr>
            </w:pPr>
            <w:r w:rsidRPr="00985DE4">
              <w:rPr>
                <w:szCs w:val="28"/>
              </w:rPr>
              <w:t xml:space="preserve">год - 1000,0 тыс. рублей </w:t>
            </w:r>
          </w:p>
          <w:p w:rsidR="002E690C" w:rsidRPr="00985DE4" w:rsidRDefault="002E690C" w:rsidP="002E690C">
            <w:pPr>
              <w:numPr>
                <w:ilvl w:val="0"/>
                <w:numId w:val="3"/>
              </w:numPr>
              <w:rPr>
                <w:szCs w:val="28"/>
              </w:rPr>
            </w:pPr>
            <w:r w:rsidRPr="00985DE4">
              <w:rPr>
                <w:szCs w:val="28"/>
              </w:rPr>
              <w:t xml:space="preserve">год - 1000,0 тыс. рублей </w:t>
            </w:r>
          </w:p>
          <w:p w:rsidR="002E690C" w:rsidRPr="00985DE4" w:rsidRDefault="002E690C" w:rsidP="002E690C">
            <w:pPr>
              <w:numPr>
                <w:ilvl w:val="0"/>
                <w:numId w:val="3"/>
              </w:numPr>
              <w:rPr>
                <w:szCs w:val="28"/>
              </w:rPr>
            </w:pPr>
            <w:r w:rsidRPr="00985DE4">
              <w:rPr>
                <w:szCs w:val="28"/>
              </w:rPr>
              <w:t xml:space="preserve">год - 1000,0 тыс. рублей </w:t>
            </w:r>
          </w:p>
          <w:p w:rsidR="002E690C" w:rsidRPr="00985DE4" w:rsidRDefault="002E690C" w:rsidP="002E690C">
            <w:pPr>
              <w:numPr>
                <w:ilvl w:val="0"/>
                <w:numId w:val="3"/>
              </w:numPr>
              <w:rPr>
                <w:szCs w:val="28"/>
              </w:rPr>
            </w:pPr>
            <w:r w:rsidRPr="00985DE4">
              <w:rPr>
                <w:szCs w:val="28"/>
              </w:rPr>
              <w:t xml:space="preserve">год - 1000,0 тыс. рублей </w:t>
            </w:r>
          </w:p>
        </w:tc>
      </w:tr>
      <w:tr w:rsidR="002E690C" w:rsidRPr="00985DE4" w:rsidTr="000E27BF">
        <w:trPr>
          <w:trHeight w:val="23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      </w:r>
          </w:p>
        </w:tc>
      </w:tr>
      <w:tr w:rsidR="002E690C" w:rsidRPr="00985DE4" w:rsidTr="000E27BF">
        <w:trPr>
          <w:trHeight w:val="19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985DE4" w:rsidRDefault="002E690C" w:rsidP="000E27BF">
            <w:pPr>
              <w:rPr>
                <w:szCs w:val="28"/>
              </w:rPr>
            </w:pPr>
            <w:r w:rsidRPr="00985DE4">
              <w:rPr>
                <w:szCs w:val="28"/>
              </w:rPr>
              <w:t>Система контроля над исполнением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985DE4" w:rsidRDefault="002E690C" w:rsidP="000E27BF">
            <w:pPr>
              <w:jc w:val="both"/>
              <w:rPr>
                <w:szCs w:val="28"/>
              </w:rPr>
            </w:pPr>
            <w:r w:rsidRPr="00985DE4">
              <w:rPr>
                <w:szCs w:val="28"/>
              </w:rPr>
              <w:t xml:space="preserve">  Текущее управление реализацией программы  и контроль за  реализацией программы осуществляет Администрация сельского поселения </w:t>
            </w:r>
            <w:r>
              <w:rPr>
                <w:szCs w:val="28"/>
              </w:rPr>
              <w:t xml:space="preserve">Зильдяровский </w:t>
            </w:r>
            <w:r w:rsidRPr="00985DE4">
              <w:rPr>
                <w:szCs w:val="28"/>
              </w:rPr>
              <w:t xml:space="preserve"> сельсовет муниципального района Миякинский  район Республики Башкортостан. </w:t>
            </w:r>
          </w:p>
        </w:tc>
      </w:tr>
    </w:tbl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690C" w:rsidRDefault="002E690C" w:rsidP="002E690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5DE4">
        <w:rPr>
          <w:bCs/>
          <w:szCs w:val="28"/>
        </w:rPr>
        <w:t>II. Введение</w:t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b/>
          <w:bCs/>
          <w:szCs w:val="28"/>
        </w:rPr>
        <w:t xml:space="preserve">    </w:t>
      </w:r>
      <w:r w:rsidRPr="00985DE4">
        <w:rPr>
          <w:szCs w:val="28"/>
        </w:rPr>
        <w:t xml:space="preserve">Муниципальная программа «Патриотическое воспитание граждан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район Республики Башкортостан на 2016-2020 годы»</w:t>
      </w:r>
      <w:r w:rsidRPr="00985DE4">
        <w:rPr>
          <w:szCs w:val="28"/>
        </w:rPr>
        <w:tab/>
        <w:t xml:space="preserve"> (далее - Программа) разработана в соответствии с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30.12.2015 № 1493.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  Реализация Программы будет способствовать развитию системы патриотического воспитания граждан, основанной на формировании гражданской позиции и патриотических чувств населения сельского поселения, координации организационной и методической работы по патриотическому воспитанию подростков и молодежи, повышению интереса допризывной молодежи к службе в армии.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  Программа определяет содержание и основные пути развития системы патриотического воспитания и направлена на дальнейшее формирование патриотического сознания граждан как важнейшей ценности, одной из основ духовно-нравственного единства.. При этом учитываются опыт и достижения прошлого, современные реалии и проблемы, тенденции развития нашего общества.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Проводимая сельским поселением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район и общественными организациями работа позволила добиться определенных результатов в данном направлении. Органы местного самоуправления оказывают активную поддержку общественным организациям, учреждениям в их работе по патриотическому воспитанию. В патриотическом воспитании полнее учитывается фактор многонационального состава сельского поселения.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  Современное состояние патриотического воспитания во многом определяется сложившейся экономической, политической и социальной ситуацией в нашем обществе. В сельском поселении проводятся народные праздники «Шежере байрамы»</w:t>
      </w:r>
      <w:r>
        <w:rPr>
          <w:szCs w:val="28"/>
        </w:rPr>
        <w:t>, «Здравствуйте, односельчане!».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 В образовательных учреждениях ведется систематическая работа по патриотическому воспитанию учащихся. Во всех образовательных учреждениях прошли встречи и Уроки мужества с ветеранами войны и тружениками тыла, воинами, побывавшими в «горячих» точках, с кадровыми офицерами и офицерами запаса. Школьники стали инициаторами акций «Бессмертный полк», «</w:t>
      </w:r>
      <w:r>
        <w:rPr>
          <w:szCs w:val="28"/>
        </w:rPr>
        <w:t>Помоги ветеранам тыла</w:t>
      </w:r>
      <w:r w:rsidRPr="00985DE4">
        <w:rPr>
          <w:szCs w:val="28"/>
        </w:rPr>
        <w:t>», «След войны в моем доме», тимуровских десантов «</w:t>
      </w:r>
      <w:r>
        <w:rPr>
          <w:szCs w:val="28"/>
        </w:rPr>
        <w:t>Как живете, труженики</w:t>
      </w:r>
      <w:r w:rsidRPr="00985DE4">
        <w:rPr>
          <w:szCs w:val="28"/>
        </w:rPr>
        <w:t>». В рамках этой даты прошли районные конкурсы рисунков и плакатов «</w:t>
      </w:r>
      <w:r>
        <w:rPr>
          <w:szCs w:val="28"/>
        </w:rPr>
        <w:t>Девятый день  большого мая</w:t>
      </w:r>
      <w:r w:rsidRPr="00985DE4">
        <w:rPr>
          <w:szCs w:val="28"/>
        </w:rPr>
        <w:t xml:space="preserve">», </w:t>
      </w:r>
      <w:r>
        <w:rPr>
          <w:szCs w:val="28"/>
        </w:rPr>
        <w:t xml:space="preserve"> « Великая Победа» , «Россия– Родина святая»,</w:t>
      </w:r>
      <w:r w:rsidRPr="00985DE4">
        <w:rPr>
          <w:szCs w:val="28"/>
        </w:rPr>
        <w:t xml:space="preserve">школьных спортивных соревнований. Наиболее </w:t>
      </w:r>
      <w:r w:rsidRPr="00985DE4">
        <w:rPr>
          <w:spacing w:val="40"/>
          <w:szCs w:val="28"/>
        </w:rPr>
        <w:t>яркими</w:t>
      </w:r>
      <w:r w:rsidRPr="00985DE4">
        <w:rPr>
          <w:szCs w:val="28"/>
        </w:rPr>
        <w:t xml:space="preserve"> мероприятиями являются: «День Победы», акции «Бессмертный полк», «Стена памяти», «Солдатский платочек», «Свеча Памяти», «Сирень Победы», «Спасибо, Тебе. Ветеран», «Весенняя неделя добра», социально-экологическая акция «Моя Республика», операция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>«Тимуровская помощь», районное торжественное мероприятие «День призывника», торжественный концерт, посвященный Дню Защитника Отечества, конкурс патриотической песни «Во Славу Великой Победы».</w:t>
      </w:r>
    </w:p>
    <w:p w:rsidR="002E690C" w:rsidRPr="00985DE4" w:rsidRDefault="002E690C" w:rsidP="002E690C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985DE4">
        <w:rPr>
          <w:szCs w:val="28"/>
        </w:rPr>
        <w:t>В сельском поселении сложилась своя система торжественных проводов в армию. Дважды в год, в весенний и осенний призывы, проводятся Дни призывника.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>Ежегодно проводится месячник оборонно-массовой и спортивной работы, в рамках которого проходят Уроки мужества, встречи с ветеранами Вооруженных сил, спортивные конкурсы. Стали традиционными День памяти воинов-интернационалистов, погибших в Афганистане и Чечне - 15 февраля, День снятия блокады Ленинграда - 27 января, День разгрома немецко-фашистских войск под Сталинградом - 2 февраля. День военно-морского флота - первое воскресенье июля.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Для юношей старше 14 лет на базе лагеря «Мечта» организуются учебно-тренировочные военные сборы для школьников «Юный спецназовец». Юноши отрабатывают практические навыки по основам военных знаний, занимаются строевой подготовкой. 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 Ветераны войны и военной службы посещают учреждения образования, культуры и молодежные коллективы.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Местные средства массовой информации, совместно с органами местного самоуправления, общественными объединениями и организациями ведут системную и целенаправленную деятельность по формированию у молодёжи патриотического сознания, чувства верности к своему Отечеству, готовности к выполнению гражданского долга по защите интересов Родины. В районной газете «Октябрь» и на официальном сайте сельского поселения освещаются все мероприятия, проводимые в сельском поселении. Находят отражение на страницах газеты все мероприятия на военно</w:t>
      </w:r>
      <w:r w:rsidRPr="00985DE4">
        <w:rPr>
          <w:szCs w:val="28"/>
        </w:rPr>
        <w:softHyphen/>
        <w:t xml:space="preserve">-патриотическую тему, проводимые в образовательных учреждениях, СДК,  в том числе, конкурс «А ну-ка парни», «День призывника» и т.д. Уделяется большое внимание военно-патриотическому воспитанию школьников на тематических страницах «Подросток», «Детская комната». 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Есть ребята, которым безразличны такие понятия, как воинский долг, честь, патриотизм и отсюда нежелание некоторой части молодежи служить в армии. Эта проблема касается как образовательных учреждений, так и семьи, молодежных организаций, трудовых коллективов.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Встречаются подростки и молодежь,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Недостаточная работа ведется по формированию гражданского сознания и правовой культуры. Некоторая часть молодых людей употребляют алкоголь, сигареты. Отчетливо прослеживается тенденция к ухудшению состояния здоровья молодежи.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szCs w:val="28"/>
        </w:rPr>
        <w:t xml:space="preserve">  Для дальнейшего развития системы патриотического воспитания граждан района 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 воспитания в трудовых коллективах, более активное и широкое привлечение к этой работе местных средств массовой информации, культуры и более широкое использование возможностей сети  «Интернет» для решения задач патриотического воспитания. Все это свидетельствует о необходимости продолжения работы, направленной на решение всего комплекса проблем патриотического воспитания граждан.</w:t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rPr>
          <w:color w:val="000000"/>
          <w:sz w:val="20"/>
          <w:lang w:eastAsia="en-US"/>
        </w:rPr>
      </w:pPr>
    </w:p>
    <w:p w:rsidR="002E690C" w:rsidRPr="00985DE4" w:rsidRDefault="002E690C" w:rsidP="002E690C">
      <w:pPr>
        <w:numPr>
          <w:ilvl w:val="0"/>
          <w:numId w:val="4"/>
        </w:numPr>
        <w:jc w:val="center"/>
        <w:rPr>
          <w:color w:val="000000"/>
          <w:szCs w:val="28"/>
        </w:rPr>
      </w:pPr>
      <w:r w:rsidRPr="00985DE4">
        <w:rPr>
          <w:color w:val="000000"/>
          <w:szCs w:val="28"/>
        </w:rPr>
        <w:t>Цель и задачи программы.</w:t>
      </w:r>
    </w:p>
    <w:p w:rsidR="002E690C" w:rsidRPr="00985DE4" w:rsidRDefault="002E690C" w:rsidP="002E690C">
      <w:pPr>
        <w:ind w:left="1095"/>
        <w:rPr>
          <w:szCs w:val="28"/>
        </w:rPr>
      </w:pP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Основной целью муниципальной программы является дальнейшее развитие и совершенствование системы патриотического воспитания граждан сельского поселения.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Для достижения этой цели необходимо решить следующие задачи: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-</w:t>
      </w:r>
      <w:r w:rsidRPr="00985DE4">
        <w:rPr>
          <w:color w:val="000000"/>
          <w:szCs w:val="28"/>
        </w:rPr>
        <w:tab/>
        <w:t>совершенствование методического и информационного обеспечения функционирования системы патриотического воспитания граждан;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-</w:t>
      </w:r>
      <w:r w:rsidRPr="00985DE4">
        <w:rPr>
          <w:color w:val="000000"/>
          <w:szCs w:val="28"/>
        </w:rPr>
        <w:tab/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- шире привлекать к участию в патриотическом воспитании общественные организации, трудовые коллективы, отдельных граждан;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-</w:t>
      </w:r>
      <w:r w:rsidRPr="00985DE4">
        <w:rPr>
          <w:color w:val="000000"/>
          <w:szCs w:val="28"/>
        </w:rPr>
        <w:tab/>
        <w:t>повышение качества патриотического воспитания в образовательных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учреждениях, превратив их</w:t>
      </w:r>
      <w:r w:rsidRPr="00985DE4">
        <w:rPr>
          <w:color w:val="000000"/>
          <w:szCs w:val="28"/>
        </w:rPr>
        <w:tab/>
        <w:t>в центры патриотического воспитания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подрастающего поколения;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>-</w:t>
      </w:r>
      <w:r w:rsidRPr="00985DE4">
        <w:rPr>
          <w:color w:val="000000"/>
          <w:szCs w:val="28"/>
        </w:rPr>
        <w:tab/>
        <w:t>развитие материально-технической базы патриотического воспитания в образовательных учреждениях, трудовых, творческих коллективах и общественных объединениях.</w:t>
      </w:r>
    </w:p>
    <w:p w:rsidR="002E690C" w:rsidRPr="00985DE4" w:rsidRDefault="002E690C" w:rsidP="002E690C">
      <w:pPr>
        <w:jc w:val="center"/>
        <w:rPr>
          <w:color w:val="000000"/>
          <w:szCs w:val="28"/>
        </w:rPr>
      </w:pPr>
      <w:r w:rsidRPr="00985DE4">
        <w:rPr>
          <w:color w:val="000000"/>
          <w:szCs w:val="28"/>
        </w:rPr>
        <w:t>IV. Механизм реализации программы.</w:t>
      </w:r>
    </w:p>
    <w:p w:rsidR="002E690C" w:rsidRPr="00985DE4" w:rsidRDefault="002E690C" w:rsidP="002E690C">
      <w:pPr>
        <w:jc w:val="center"/>
        <w:rPr>
          <w:szCs w:val="28"/>
        </w:rPr>
      </w:pP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 xml:space="preserve">   Механизм реализации муниципальной программы основывается на дальнейшем совершенствовании форм и методов работы Администрации сельского поселения, учреждений и организаций, общественных организаций по осуществлению патриотического воспитания, пропаганды патриотизма в средствах массовой информации. Исполнителями Программы являются </w:t>
      </w:r>
      <w:r w:rsidRPr="00985DE4">
        <w:rPr>
          <w:szCs w:val="28"/>
        </w:rPr>
        <w:t xml:space="preserve">Администрация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 район Республики Башкортостан., МОБУ СОШ с. </w:t>
      </w:r>
      <w:r>
        <w:rPr>
          <w:szCs w:val="28"/>
        </w:rPr>
        <w:t>Зильдярово, с.Шатмантамак</w:t>
      </w:r>
      <w:r w:rsidRPr="00985DE4">
        <w:rPr>
          <w:szCs w:val="28"/>
        </w:rPr>
        <w:t xml:space="preserve"> (по согласованию), СДК с. </w:t>
      </w:r>
      <w:r>
        <w:rPr>
          <w:szCs w:val="28"/>
        </w:rPr>
        <w:t>Зильдярово, с.Шатмантамак</w:t>
      </w:r>
      <w:r w:rsidRPr="00985DE4">
        <w:rPr>
          <w:szCs w:val="28"/>
        </w:rPr>
        <w:t xml:space="preserve">, библиотека с. </w:t>
      </w:r>
      <w:r>
        <w:rPr>
          <w:szCs w:val="28"/>
        </w:rPr>
        <w:t>Зильдярово. с.Шатмантамак</w:t>
      </w:r>
      <w:r w:rsidRPr="00985DE4">
        <w:rPr>
          <w:szCs w:val="28"/>
        </w:rPr>
        <w:t xml:space="preserve"> (по согласованию), отдел военного комиссариата по Стерлибашевскому и Миякинскому районам (по согласованию)</w:t>
      </w:r>
    </w:p>
    <w:p w:rsidR="002E690C" w:rsidRPr="00985DE4" w:rsidRDefault="002E690C" w:rsidP="002E690C">
      <w:pPr>
        <w:jc w:val="center"/>
        <w:rPr>
          <w:color w:val="000000"/>
          <w:szCs w:val="28"/>
        </w:rPr>
      </w:pPr>
    </w:p>
    <w:p w:rsidR="002E690C" w:rsidRDefault="002E690C" w:rsidP="002E690C">
      <w:pPr>
        <w:jc w:val="center"/>
        <w:rPr>
          <w:color w:val="000000"/>
          <w:szCs w:val="28"/>
        </w:rPr>
      </w:pPr>
    </w:p>
    <w:p w:rsidR="002E690C" w:rsidRDefault="002E690C" w:rsidP="002E690C">
      <w:pPr>
        <w:jc w:val="center"/>
        <w:rPr>
          <w:color w:val="000000"/>
          <w:szCs w:val="28"/>
        </w:rPr>
      </w:pPr>
    </w:p>
    <w:p w:rsidR="002E690C" w:rsidRDefault="002E690C" w:rsidP="002E690C">
      <w:pPr>
        <w:jc w:val="center"/>
        <w:rPr>
          <w:color w:val="000000"/>
          <w:szCs w:val="28"/>
        </w:rPr>
      </w:pPr>
    </w:p>
    <w:p w:rsidR="002E690C" w:rsidRDefault="002E690C" w:rsidP="002E690C">
      <w:pPr>
        <w:jc w:val="center"/>
        <w:rPr>
          <w:color w:val="000000"/>
          <w:szCs w:val="28"/>
        </w:rPr>
      </w:pPr>
    </w:p>
    <w:p w:rsidR="002E690C" w:rsidRPr="00985DE4" w:rsidRDefault="002E690C" w:rsidP="002E690C">
      <w:pPr>
        <w:jc w:val="center"/>
        <w:rPr>
          <w:color w:val="000000"/>
          <w:szCs w:val="28"/>
        </w:rPr>
      </w:pPr>
      <w:r w:rsidRPr="00985DE4">
        <w:rPr>
          <w:color w:val="000000"/>
          <w:szCs w:val="28"/>
        </w:rPr>
        <w:t>V. Ожидаемые результаты реализации программы.</w:t>
      </w:r>
    </w:p>
    <w:p w:rsidR="002E690C" w:rsidRPr="00985DE4" w:rsidRDefault="002E690C" w:rsidP="002E690C">
      <w:pPr>
        <w:jc w:val="center"/>
        <w:rPr>
          <w:szCs w:val="28"/>
        </w:rPr>
      </w:pP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 xml:space="preserve">   Важнейшим условием эффективности работы по патриотическому воспитанию является постоянный анализ ее состояния.</w:t>
      </w:r>
    </w:p>
    <w:p w:rsidR="002E690C" w:rsidRPr="00985DE4" w:rsidRDefault="002E690C" w:rsidP="002E690C">
      <w:pPr>
        <w:jc w:val="both"/>
        <w:rPr>
          <w:szCs w:val="28"/>
        </w:rPr>
      </w:pPr>
      <w:r w:rsidRPr="00985DE4">
        <w:rPr>
          <w:color w:val="000000"/>
          <w:szCs w:val="28"/>
        </w:rPr>
        <w:t xml:space="preserve">    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</w: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690C" w:rsidRPr="00985DE4" w:rsidRDefault="002E690C" w:rsidP="002E690C">
      <w:pPr>
        <w:jc w:val="center"/>
        <w:rPr>
          <w:szCs w:val="28"/>
        </w:rPr>
      </w:pPr>
      <w:r w:rsidRPr="00985DE4">
        <w:rPr>
          <w:szCs w:val="28"/>
          <w:lang w:val="en-US"/>
        </w:rPr>
        <w:t>VI</w:t>
      </w:r>
      <w:r w:rsidRPr="00985DE4">
        <w:rPr>
          <w:szCs w:val="28"/>
        </w:rPr>
        <w:t xml:space="preserve">. Мероприятия по реализации муниципальной программы «Патриотическое воспитание граждан сельского поселения </w:t>
      </w:r>
      <w:r>
        <w:rPr>
          <w:szCs w:val="28"/>
        </w:rPr>
        <w:t xml:space="preserve">Зильдяровский </w:t>
      </w:r>
      <w:r w:rsidRPr="00985DE4">
        <w:rPr>
          <w:szCs w:val="28"/>
        </w:rPr>
        <w:t xml:space="preserve"> сельсовет муниципального района Миякинский район Республики Башкортостан</w:t>
      </w:r>
    </w:p>
    <w:p w:rsidR="002E690C" w:rsidRPr="00985DE4" w:rsidRDefault="002E690C" w:rsidP="002E690C">
      <w:pPr>
        <w:jc w:val="center"/>
        <w:rPr>
          <w:szCs w:val="28"/>
        </w:rPr>
      </w:pPr>
      <w:r w:rsidRPr="00985DE4">
        <w:rPr>
          <w:szCs w:val="28"/>
        </w:rPr>
        <w:t>на 2016-2020 годы»</w:t>
      </w:r>
    </w:p>
    <w:tbl>
      <w:tblPr>
        <w:tblW w:w="10216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287"/>
        <w:gridCol w:w="1583"/>
        <w:gridCol w:w="34"/>
        <w:gridCol w:w="4623"/>
        <w:gridCol w:w="30"/>
      </w:tblGrid>
      <w:tr w:rsidR="002E690C" w:rsidRPr="00003E3A" w:rsidTr="000E27BF">
        <w:trPr>
          <w:trHeight w:val="7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mallCap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Наименование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Сроки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реализации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Исполнители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9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2E690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 xml:space="preserve">Совершенствование системы патриотического воспитания                       1. Организационно-методические меры по совершенствованию системы </w:t>
            </w:r>
            <w:r w:rsidRPr="00003E3A">
              <w:rPr>
                <w:i/>
                <w:iCs/>
                <w:spacing w:val="-20"/>
                <w:sz w:val="24"/>
                <w:szCs w:val="24"/>
              </w:rPr>
              <w:t xml:space="preserve"> </w:t>
            </w:r>
            <w:r w:rsidRPr="00003E3A">
              <w:rPr>
                <w:sz w:val="24"/>
                <w:szCs w:val="24"/>
              </w:rPr>
              <w:t>патриотического воспитания граждан.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12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уроков мужества в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общеобразовательных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школах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СОБУ СОШ с. Зильдярово, Шатмантамак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24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мероприятий по совершенствованию работы с молодежными организациями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 xml:space="preserve"> Специалист по делам молодежи Администрации сельского поселения Зильдяровский  сельсовет муниципального района Миякинский район Республики Башкортостан (далее – специалист по делам молодежи)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358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ab/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Организация поощрений за достигнутые успехи в патриотическом воспитании граждан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 xml:space="preserve">Администрации сельского поселения Зильдяровский  сельсовет муниципального района Миякинский район Республики Башкортостан , СДК с. Зильдярово, с.Шатмантамак 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с. Зильдярово, с.Шатмантамак  (по согласованию), библиотека с. Зильдярово, с.Шатмантамак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Отдел военного комиссариата по Стерлибашевскому и Миякинскому районам (по согласованию)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9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конференций по патриотическому воспитанию граждан в ходе подготовки и проведении мероприятий, посвященных юбилейным и другим памятным событиям истории России и Башкортостана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с. Зильдярово, с.Шатмантамак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с. Зильдярово, с.Шатмантамак (по согласованию), библиотека Зильдярово, с.Шатмантамак  ( по согласованию)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Отдел военного комиссариата по Стерлибашевскому и Миякинскому районам (по согласованию)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480"/>
        <w:gridCol w:w="1690"/>
        <w:gridCol w:w="4494"/>
      </w:tblGrid>
      <w:tr w:rsidR="002E690C" w:rsidRPr="00003E3A" w:rsidTr="000E27BF">
        <w:trPr>
          <w:trHeight w:val="43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мероприятий, посвященных славным историческим событиям России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  <w:p w:rsidR="002E690C" w:rsidRPr="00003E3A" w:rsidRDefault="002E690C" w:rsidP="000E27BF">
            <w:pPr>
              <w:spacing w:line="90" w:lineRule="exact"/>
              <w:rPr>
                <w:sz w:val="24"/>
                <w:szCs w:val="24"/>
              </w:rPr>
            </w:pPr>
            <w:r w:rsidRPr="00003E3A">
              <w:rPr>
                <w:rFonts w:ascii="Verdana" w:hAnsi="Verdana" w:cs="Verdana"/>
                <w:sz w:val="24"/>
                <w:szCs w:val="24"/>
              </w:rPr>
              <w:t>•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 xml:space="preserve"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Отдел военного комиссариата по Стерлибашевскому и Миякинскому районам (по согласованию)</w:t>
            </w:r>
          </w:p>
        </w:tc>
      </w:tr>
      <w:tr w:rsidR="002E690C" w:rsidRPr="00003E3A" w:rsidTr="000E27BF">
        <w:trPr>
          <w:trHeight w:val="3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, МОБУ СОШ Зильдярово, с.Шатмантамак   (по согласованию), библиотека Зильдярово, с.Шатмантамак  (по согласованию), отдел военного комиссариата по Стерлибашевскому и Миякинскому районам (по согласованию)</w:t>
            </w: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97"/>
        <w:gridCol w:w="1714"/>
        <w:gridCol w:w="4388"/>
      </w:tblGrid>
      <w:tr w:rsidR="002E690C" w:rsidRPr="00003E3A" w:rsidTr="000E27BF">
        <w:trPr>
          <w:trHeight w:val="1010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2. Совершенствование информационного обеспечения патриотического</w:t>
            </w:r>
          </w:p>
          <w:p w:rsidR="002E690C" w:rsidRPr="00003E3A" w:rsidRDefault="002E690C" w:rsidP="000E27B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воспитания граждан</w:t>
            </w:r>
          </w:p>
          <w:p w:rsidR="002E690C" w:rsidRPr="00003E3A" w:rsidRDefault="002E690C" w:rsidP="000E27B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23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</w:rPr>
            </w:pPr>
          </w:p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Информирование населения через средства массовой информации о работе ветеранских и молодежных организаций по патриотическому воспитанию граждан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Регулярно</w:t>
            </w:r>
          </w:p>
          <w:p w:rsidR="002E690C" w:rsidRPr="00003E3A" w:rsidRDefault="002E690C" w:rsidP="000E27BF">
            <w:pPr>
              <w:spacing w:line="8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•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Районная газета «Октябрь»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Официальный сайт Администрации сельского поселения Зильдяровский  сельсовет муниципального района Миякинский район Республики Башкортостан</w:t>
            </w:r>
          </w:p>
        </w:tc>
      </w:tr>
      <w:tr w:rsidR="002E690C" w:rsidRPr="00003E3A" w:rsidTr="000E27BF">
        <w:trPr>
          <w:trHeight w:val="19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  <w:vertAlign w:val="superscript"/>
              </w:rPr>
            </w:pPr>
          </w:p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  <w:vertAlign w:val="superscript"/>
              </w:rPr>
            </w:pPr>
            <w:r w:rsidRPr="00003E3A">
              <w:rPr>
                <w:sz w:val="24"/>
                <w:szCs w:val="24"/>
                <w:vertAlign w:val="superscript"/>
              </w:rPr>
              <w:t xml:space="preserve">   </w:t>
            </w:r>
            <w:r w:rsidRPr="00003E3A">
              <w:rPr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Освещение реализации плана мероприятий по патриотическому воспитанию граждан в средствах массовой информации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Регулярно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</w:t>
            </w:r>
          </w:p>
        </w:tc>
      </w:tr>
      <w:tr w:rsidR="002E690C" w:rsidRPr="00003E3A" w:rsidTr="000E27BF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3</w:t>
            </w:r>
          </w:p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Освещение мероприятий по патриотическому воспитанию граждан в средствах массовой информации</w:t>
            </w:r>
          </w:p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  <w:tr w:rsidR="002E690C" w:rsidRPr="00003E3A" w:rsidTr="000E27BF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Размещение в средствах массовой информации социальной рекламы патриотической направленности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(по согласованию), библиотека Зильдярово, с.Шатмантамак (по согласованию),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  <w:tr w:rsidR="002E690C" w:rsidRPr="00003E3A" w:rsidTr="000E27BF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Популяризация службы воинов-земляков через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Постоянно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 (по согласованию)</w:t>
            </w:r>
          </w:p>
        </w:tc>
      </w:tr>
      <w:tr w:rsidR="002E690C" w:rsidRPr="00003E3A" w:rsidTr="000E27BF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Организация конкурсов и выставок, в рамках проведения мероприятий к году российского кино, направленных на развитие венно-патриотического воспитания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 (по согласованию)</w:t>
            </w: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494"/>
        <w:gridCol w:w="1709"/>
        <w:gridCol w:w="4398"/>
      </w:tblGrid>
      <w:tr w:rsidR="002E690C" w:rsidRPr="00003E3A" w:rsidTr="000E27BF">
        <w:trPr>
          <w:trHeight w:val="6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II. Организация патриотического воспитания граждан в ходе проведения</w:t>
            </w:r>
          </w:p>
          <w:p w:rsidR="002E690C" w:rsidRPr="00003E3A" w:rsidRDefault="002E690C" w:rsidP="000E27B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массовых мероприятий</w:t>
            </w:r>
          </w:p>
        </w:tc>
      </w:tr>
      <w:tr w:rsidR="002E690C" w:rsidRPr="00003E3A" w:rsidTr="000E27BF">
        <w:trPr>
          <w:trHeight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1. Работа по патриотическому воспитанию граждан в ходе организации и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проведения массовых мероприятий</w:t>
            </w:r>
          </w:p>
        </w:tc>
      </w:tr>
      <w:tr w:rsidR="002E690C" w:rsidRPr="00003E3A" w:rsidTr="000E27BF">
        <w:trPr>
          <w:trHeight w:val="25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и участие в районных конкурсах, фестивалях, викторинах.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согласованию))</w:t>
            </w: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4394"/>
      </w:tblGrid>
      <w:tr w:rsidR="002E690C" w:rsidRPr="00003E3A" w:rsidTr="000E27BF">
        <w:trPr>
          <w:trHeight w:val="28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фестивалей, конкурсов, смотров, классных часов, посвященных Дню защитника Отечества, Дню Победы и Дням памяти и скорби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 (по согласованию)</w:t>
            </w:r>
          </w:p>
        </w:tc>
      </w:tr>
      <w:tr w:rsidR="002E690C" w:rsidRPr="00003E3A" w:rsidTr="000E27BF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и участие в районных фестивалях и спартакиадах по военно</w:t>
            </w:r>
            <w:r w:rsidRPr="00003E3A">
              <w:rPr>
                <w:sz w:val="24"/>
                <w:szCs w:val="24"/>
              </w:rPr>
              <w:softHyphen/>
              <w:t>прикладным видам спорта, физической подготовке граждан допризывного и призывного возрастов, другие оборонно-массовые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МОБУ СОШ Зильдярово, с.Шатмантамак  (по согласованию), отдел военного комиссариата по Стерлибашевскому и Миякинскому районам (по согласованию)</w:t>
            </w:r>
          </w:p>
        </w:tc>
      </w:tr>
      <w:tr w:rsidR="002E690C" w:rsidRPr="00003E3A" w:rsidTr="000E27BF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Мероприятия, направленные на подготовку и сдачу норм физкультурно-спортивного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МОБУ СОШ Зильдярово, с.Шатмантамак  (по согласованию)</w:t>
            </w:r>
          </w:p>
        </w:tc>
      </w:tr>
      <w:tr w:rsidR="002E690C" w:rsidRPr="00003E3A" w:rsidTr="000E27BF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Организация и проведение профильных лагерей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МОБУ СОШ Зильдярово, с.Шатмантамак (по согласованию)</w:t>
            </w:r>
          </w:p>
        </w:tc>
      </w:tr>
      <w:tr w:rsidR="002E690C" w:rsidRPr="00003E3A" w:rsidTr="000E27BF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</w:rPr>
            </w:pPr>
          </w:p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Развитие добровольчества (волонтерства)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 xml:space="preserve">Администрации сельского поселения Зильдяровский  сельсовет муниципального района Миякинский район Республики Башкортостан 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2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Участие в месячнике оборонно-массовой работы, посвященном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согласованию), отдел военного комиссариата по Стерлибашевскому и Миякинскому районам (по согласованию)</w:t>
            </w:r>
          </w:p>
        </w:tc>
      </w:tr>
      <w:tr w:rsidR="002E690C" w:rsidRPr="00003E3A" w:rsidTr="000E27BF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Участие в молодежно</w:t>
            </w:r>
            <w:r w:rsidRPr="00003E3A">
              <w:rPr>
                <w:sz w:val="24"/>
                <w:szCs w:val="24"/>
              </w:rPr>
              <w:softHyphen/>
              <w:t>патриотической акции «Всероссийский день 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 (по согласованию), отдел военного комиссариата по Стерлибашевскому и Миякинскому районам (по согласованию)</w:t>
            </w:r>
          </w:p>
        </w:tc>
      </w:tr>
      <w:tr w:rsidR="002E690C" w:rsidRPr="00003E3A" w:rsidTr="000E27BF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мероприятий по увековечению памяти защитников Отечества, погибших в годы Великой Отечественной войны 1941 -1945 годов, в целях сохранения преемственности поколений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(по согласованию), библиотека Зильдярово, с.Шатмантамак (по согласованию),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согласованию),отдел военного комиссариата по Стерлибашевскому и Миякинскому районам (по согласованию)</w:t>
            </w: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1701"/>
        <w:gridCol w:w="4394"/>
      </w:tblGrid>
      <w:tr w:rsidR="002E690C" w:rsidRPr="00003E3A" w:rsidTr="000E27BF">
        <w:trPr>
          <w:trHeight w:val="11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Цикл встреч учащихся с ветеранами войны и тружениками тыла, посвященных памятным датам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2016-2020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Башкортостан, СДК Зильдярово, с.Шатмантамак (по согласованию), библиотека Зильдярово, с.Шатмантамак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408"/>
        <w:gridCol w:w="1737"/>
        <w:gridCol w:w="4394"/>
      </w:tblGrid>
      <w:tr w:rsidR="002E690C" w:rsidRPr="00003E3A" w:rsidTr="000E27BF">
        <w:trPr>
          <w:trHeight w:val="23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Цикл мероприятий. посвященных дням воинской славы и памятным дням истории Республики Башкортостан и России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2016-2020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годы</w:t>
            </w:r>
          </w:p>
          <w:p w:rsidR="002E690C" w:rsidRPr="00003E3A" w:rsidRDefault="002E690C" w:rsidP="000E27BF">
            <w:pPr>
              <w:spacing w:line="8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(по согласованию), библиотека Зильдярово, с.Шатмантамак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  <w:tr w:rsidR="002E690C" w:rsidRPr="00003E3A" w:rsidTr="000E27BF">
        <w:trPr>
          <w:trHeight w:val="31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Создание музейных выставок, посвященных военно-патриотической тематике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 (по согласованию), библиотека Зильдярово, с.Шатмантамак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  <w:tr w:rsidR="002E690C" w:rsidRPr="00003E3A" w:rsidTr="000E27BF">
        <w:trPr>
          <w:trHeight w:val="23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Мероприятия, направленные на благоустройство памятных мест.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2016-2018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4394"/>
      </w:tblGrid>
      <w:tr w:rsidR="002E690C" w:rsidRPr="00003E3A" w:rsidTr="000E27BF">
        <w:trPr>
          <w:trHeight w:val="3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краеведческих мероприятий, семинаров, экскурсий, экспедиций в целях привлечения обучающихся образовательных учреждений к изучению и исследованию культурного и исторического наследия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МОБУ СОШ Зильдярово, с.Шатмантамак (по согласованию), библиотека Зильдярово, с.Шатмантамак  (по согласованию)</w:t>
            </w:r>
          </w:p>
        </w:tc>
      </w:tr>
      <w:tr w:rsidR="002E690C" w:rsidRPr="00003E3A" w:rsidTr="000E27BF">
        <w:trPr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Восстановление, реконструкция и ремонт, мемориалов, памятников и обелисков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2016</w:t>
            </w:r>
            <w:r w:rsidRPr="00003E3A">
              <w:rPr>
                <w:sz w:val="24"/>
                <w:szCs w:val="24"/>
              </w:rPr>
              <w:softHyphen/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2020гг.</w:t>
            </w:r>
          </w:p>
          <w:p w:rsidR="002E690C" w:rsidRPr="00003E3A" w:rsidRDefault="002E690C" w:rsidP="000E27BF">
            <w:pPr>
              <w:spacing w:line="10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</w:t>
            </w:r>
          </w:p>
        </w:tc>
      </w:tr>
      <w:tr w:rsidR="002E690C" w:rsidRPr="00003E3A" w:rsidTr="000E27BF">
        <w:trPr>
          <w:trHeight w:val="6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jc w:val="center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2. Использование государственных символов Российской Федерации и Республики Башкортостан в целях патриотического воспитания граждан</w:t>
            </w:r>
          </w:p>
        </w:tc>
      </w:tr>
      <w:tr w:rsidR="002E690C" w:rsidRPr="00003E3A" w:rsidTr="000E27BF">
        <w:trPr>
          <w:trHeight w:val="2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Оформление информационных стендов, посвященных Российской Федерации 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СДК Зильдярово, с.Шатмантамак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  <w:tr w:rsidR="002E690C" w:rsidRPr="00003E3A" w:rsidTr="000E27BF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2</w:t>
            </w:r>
          </w:p>
          <w:p w:rsidR="002E690C" w:rsidRPr="00003E3A" w:rsidRDefault="002E690C" w:rsidP="000E27B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 xml:space="preserve">Организация книжных выставок, тематических мероприятий в целях популяризации </w:t>
            </w:r>
            <w:r w:rsidRPr="00003E3A">
              <w:rPr>
                <w:bCs/>
                <w:spacing w:val="-10"/>
                <w:sz w:val="24"/>
                <w:szCs w:val="24"/>
              </w:rPr>
              <w:t xml:space="preserve">государственных </w:t>
            </w:r>
            <w:r w:rsidRPr="00003E3A">
              <w:rPr>
                <w:sz w:val="24"/>
                <w:szCs w:val="24"/>
              </w:rPr>
              <w:t xml:space="preserve">символов </w:t>
            </w:r>
            <w:r w:rsidRPr="00003E3A">
              <w:rPr>
                <w:bCs/>
                <w:spacing w:val="-10"/>
                <w:sz w:val="24"/>
                <w:szCs w:val="24"/>
              </w:rPr>
              <w:t xml:space="preserve">Российской </w:t>
            </w:r>
            <w:r w:rsidRPr="00003E3A">
              <w:rPr>
                <w:sz w:val="24"/>
                <w:szCs w:val="24"/>
              </w:rPr>
              <w:t xml:space="preserve">Федерации и </w:t>
            </w:r>
            <w:r w:rsidRPr="00003E3A">
              <w:rPr>
                <w:bCs/>
                <w:spacing w:val="-1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СДК Зильдярово, с.Шатмантамак (по согласованию), библиотека Зильдярово, с.Шатмантамак (по согласованию),</w:t>
            </w:r>
          </w:p>
          <w:p w:rsidR="002E690C" w:rsidRPr="00003E3A" w:rsidRDefault="002E690C" w:rsidP="000E27BF">
            <w:pPr>
              <w:rPr>
                <w:sz w:val="24"/>
                <w:szCs w:val="24"/>
              </w:rPr>
            </w:pPr>
          </w:p>
        </w:tc>
      </w:tr>
      <w:tr w:rsidR="002E690C" w:rsidRPr="00003E3A" w:rsidTr="000E27BF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Изучение на уроках музыки текстов государственных гимнов Российской Федерации 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(по согласованию),</w:t>
            </w:r>
          </w:p>
        </w:tc>
      </w:tr>
      <w:tr w:rsidR="002E690C" w:rsidRPr="00003E3A" w:rsidTr="000E27BF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Проведение в сельском поселении республиканских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Ежегодно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Администрации сельского поселения Зильдяровский  сельсовет муниципального района Миякинский район Республики Башкортостан ,  СДК Зильдярово, с.Шатмантамак (по согласованию), библиотека Зильдярово, с.Шатмантамак  (по согласованию),</w:t>
            </w:r>
          </w:p>
          <w:p w:rsidR="002E690C" w:rsidRPr="00003E3A" w:rsidRDefault="002E690C" w:rsidP="000E27BF">
            <w:pPr>
              <w:spacing w:line="260" w:lineRule="exact"/>
              <w:rPr>
                <w:sz w:val="24"/>
                <w:szCs w:val="24"/>
              </w:rPr>
            </w:pPr>
            <w:r w:rsidRPr="00003E3A">
              <w:rPr>
                <w:sz w:val="24"/>
                <w:szCs w:val="24"/>
              </w:rPr>
              <w:t>МОБУ СОШ Зильдярово, с.Шатмантамак  (по согласованию)</w:t>
            </w:r>
          </w:p>
        </w:tc>
      </w:tr>
    </w:tbl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690C" w:rsidRPr="00003E3A" w:rsidRDefault="002E690C" w:rsidP="002E690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6A93" w:rsidRDefault="00C26A93">
      <w:bookmarkStart w:id="0" w:name="_GoBack"/>
      <w:bookmarkEnd w:id="0"/>
    </w:p>
    <w:sectPr w:rsidR="00C26A93" w:rsidSect="000F07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6D" w:rsidRDefault="002E690C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 w15:restartNumberingAfterBreak="0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C"/>
    <w:rsid w:val="002E690C"/>
    <w:rsid w:val="00C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DB48-D803-4BE3-B3BD-91678E5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9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3994</Words>
  <Characters>22768</Characters>
  <Application>Microsoft Office Word</Application>
  <DocSecurity>0</DocSecurity>
  <Lines>189</Lines>
  <Paragraphs>53</Paragraphs>
  <ScaleCrop>false</ScaleCrop>
  <Company/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2016-07-29T04:37:00Z</dcterms:created>
  <dcterms:modified xsi:type="dcterms:W3CDTF">2016-07-29T04:37:00Z</dcterms:modified>
</cp:coreProperties>
</file>