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E66185" w:rsidRPr="00E66185" w:rsidTr="00301EA0">
        <w:trPr>
          <w:trHeight w:val="1992"/>
        </w:trPr>
        <w:tc>
          <w:tcPr>
            <w:tcW w:w="3860" w:type="dxa"/>
          </w:tcPr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E66185" w:rsidRPr="00E66185" w:rsidRDefault="00E66185" w:rsidP="00E66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DA25F3" wp14:editId="1AEE8EC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E66185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6185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E6618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12 </w:t>
      </w:r>
      <w:proofErr w:type="spellStart"/>
      <w:r w:rsidRPr="00E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гинуар</w:t>
      </w:r>
      <w:proofErr w:type="spellEnd"/>
      <w:r w:rsidRPr="00E661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 й.                              № 1                        12 января 2015 г.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85" w:rsidRPr="00E66185" w:rsidRDefault="00E66185" w:rsidP="00E66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администрирования доходов бюджета сельского поселения Зильдяровский сельсовет муниципального района</w:t>
      </w:r>
    </w:p>
    <w:p w:rsidR="00E66185" w:rsidRPr="00E66185" w:rsidRDefault="00E66185" w:rsidP="00E66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 Республики Башкортостан, администрируемых администрацией сельского поселения Зильдяровский сельсовет муниципального района Миякинский район Республики Башкортостан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Бюджетного кодекса Российской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п</w:t>
      </w:r>
      <w:proofErr w:type="gramEnd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администрирования доходов бюджета сельского поселения Зильдяровский сельсовет муниципального района Миякинский район Республики Башкортостан, администрируемых администрацией сельского поселения Зильдяровский сельсовет муниципального района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 район</w:t>
      </w:r>
      <w:proofErr w:type="gramEnd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от 20 декабря 2012 года № 63 «О порядке администрирования доходов бюджета сельского поселения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 сельсовет</w:t>
      </w:r>
      <w:proofErr w:type="gramEnd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Администрацией сельского поселения Зильдяровский сельсовет муниципального района Миякинский  район Республики Башкортостан» </w:t>
      </w: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1 января 2015 года.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 сельсовет</w:t>
      </w:r>
      <w:proofErr w:type="gramEnd"/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 район</w:t>
      </w:r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</w:t>
      </w:r>
      <w:proofErr w:type="spell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З.З.Идрисов</w:t>
      </w:r>
      <w:proofErr w:type="spellEnd"/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tabs>
          <w:tab w:val="left" w:pos="9638"/>
        </w:tabs>
        <w:spacing w:after="0" w:line="240" w:lineRule="auto"/>
        <w:ind w:left="5103"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tabs>
          <w:tab w:val="left" w:pos="9638"/>
        </w:tabs>
        <w:spacing w:after="0" w:line="240" w:lineRule="auto"/>
        <w:ind w:left="5103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E66185" w:rsidRPr="00E66185" w:rsidRDefault="00E66185" w:rsidP="00E66185">
      <w:pPr>
        <w:tabs>
          <w:tab w:val="left" w:pos="3780"/>
          <w:tab w:val="left" w:pos="9638"/>
        </w:tabs>
        <w:spacing w:after="0" w:line="240" w:lineRule="auto"/>
        <w:ind w:left="5103"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сельского поселения </w:t>
      </w:r>
      <w:proofErr w:type="gramStart"/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Зильдяровский  сельсовет</w:t>
      </w:r>
      <w:proofErr w:type="gramEnd"/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Миякинский район Республики Башкортостан от 12 января 2014 года № 1</w:t>
      </w: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E66185" w:rsidRPr="00E66185" w:rsidRDefault="00E66185" w:rsidP="00E6618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администрирования доходов бюджета сельского поселения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 сельсовет</w:t>
      </w:r>
      <w:proofErr w:type="gramEnd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Миякинский район Республики Башкортостан, администрируемых Администрацией сельского поселения Зильдяровский  сельсовет муниципального района Миякинский район Республики Башкортостан </w:t>
      </w:r>
    </w:p>
    <w:p w:rsidR="00E66185" w:rsidRPr="00E66185" w:rsidRDefault="00E66185" w:rsidP="00E6618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66185" w:rsidRPr="00E66185" w:rsidRDefault="00E66185" w:rsidP="00E66185">
      <w:pPr>
        <w:shd w:val="clear" w:color="auto" w:fill="FFFFFF"/>
        <w:autoSpaceDE w:val="0"/>
        <w:autoSpaceDN w:val="0"/>
        <w:adjustRightInd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Зильдяровский сельсовет муниципального района Миякинский район Республики Башкортостан (далее - Администрация сельского поселения) осуществляет функции администратора доходов бюджета сельского поселения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  сельсовет</w:t>
      </w:r>
      <w:proofErr w:type="gramEnd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Миякинский район Республики Башкортостан (далее - бюджета сельского поселения). 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E66185" w:rsidRPr="00E66185" w:rsidRDefault="00E66185" w:rsidP="00E66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администрируемых,</w:t>
      </w:r>
    </w:p>
    <w:p w:rsidR="00E66185" w:rsidRPr="00E66185" w:rsidRDefault="00E66185" w:rsidP="00E66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Зильдяровский сельсовет муниципального района Миякинский район Республики Башкортостан доходов бюджета сельского поселения Зильдяровский сельсовет муниципального района Миякинский район Республики Башкортостан</w:t>
      </w:r>
    </w:p>
    <w:p w:rsidR="00E66185" w:rsidRPr="00E66185" w:rsidRDefault="00E66185" w:rsidP="00E661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 целях осуществления функций администратора доходов бюджета сельского поселения 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сельсовет муниципального района Миякинский  район Республики Башкортостан  (далее – доходов бюджета) , администрируемых Администрацией сельского поселения 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сельсовет муниципального района Миякинский район Республики Башкортостан (далее – Администрация сельского поселения) закрепить 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>доходы бюджета за заместителем главного бухгалтера МКУ «Централизованная бухгалтерия» согласно приложению 1 к настоящему Порядку. 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 рамках бюджетного процесса заместитель главного бухгалтера МКУ «Централизованная бухгалтерия» за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которой  закреплены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доходы бюджета: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 -  осуществляет мониторинг, контроль, анализ и прогнозирование поступлений средств бюджета сельского поселения 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сельсовет муниципального района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Миякинский  район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Республики Башкортостан;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 - представляет в Финансовое управление Администрации муниципального района Миякинский район Республики Башкортостан проект перечня доходов бюджета, подлежащих закреплению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за  администрацией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сельского поселения на очередной финансовый год;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-  осуществляет возврат поступлений из бюджета и уточнение вида и принадлежности невыясненных поступлений.</w:t>
      </w:r>
    </w:p>
    <w:p w:rsidR="00E66185" w:rsidRPr="00E66185" w:rsidRDefault="00E66185" w:rsidP="00E66185">
      <w:pPr>
        <w:shd w:val="clear" w:color="auto" w:fill="FFFFFF"/>
        <w:spacing w:after="0" w:line="36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3. Порядок возврата доходов из бюджета сельского поселения 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</w:p>
    <w:p w:rsidR="00E66185" w:rsidRPr="00E66185" w:rsidRDefault="00E66185" w:rsidP="00E66185">
      <w:pPr>
        <w:shd w:val="clear" w:color="auto" w:fill="FFFFFF"/>
        <w:spacing w:after="0" w:line="360" w:lineRule="atLeast"/>
        <w:ind w:firstLine="720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Заявление о возврате излишне уплаченной суммы может быть подано в течение трех лет со дня уплаты указанной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суммы .Для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возврата излишне уплаченной суммы плательщик представляет в Администрацию сельского поселения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                                                  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Возврат излишне уплаченной суммы производится в течение 30 дней со дня регистрации поступления указанного заявления. Поступившее заявление на возврат от юридического или физического лица (далее – заявитель) направляется на рассмотрение заместителю главного бухгалтера, за которой закреплен доходный источник согласно приложению 1 к настоящему Порядку (далее – исполнитель). Исполнитель в течение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3  рабочих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</w:t>
      </w:r>
    </w:p>
    <w:p w:rsidR="00E66185" w:rsidRPr="00E66185" w:rsidRDefault="00E66185" w:rsidP="00E6618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 В том случае, когда администратором платежа, подлежащего возврату, является не Администрация сельского поселения или указанная сумма не поступила в бюджет, исполнитель не позднее 30 дней со дня регистрации заявления на возврат подготавливает письмо заявителю за подписью главы сельского поселения об отказе в возврате излишне уплаченной суммы в бюджет с указанием причины отказа.</w:t>
      </w:r>
    </w:p>
    <w:p w:rsidR="00E66185" w:rsidRPr="00E66185" w:rsidRDefault="00E66185" w:rsidP="00E6618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3  к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настоящему порядку. В случае недостатка какой-либо информации запрашивает ее у заявителя.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 xml:space="preserve">В случае отказа заявителя в представлении необходимых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для  проведения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возврата документов или информации исполнитель подготавливает письмо заявителю за подписью главы сельского поселения об отказе в возврате излишне  уплаченной суммы в бюджет с указанием причины отказа и приложением расчетных документов, представленных заявителем.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В случае отсутствия оснований для отказа в возврате излишне уплаченной суммы исполнитель: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передает на утверждение главе сельского поселения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в) после утверждения Заявки на возврат на бумажном носителе регистрирует ее в журнале регистрации Заявок на возврат согласно приложению № 4 к настоящему порядку.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г) направляет Заявку на возврат в электронном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виде  в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Управление Федерального казначейства по Республике Башкортостан;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д)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E66185" w:rsidRPr="00E66185" w:rsidRDefault="00E66185" w:rsidP="00E66185">
      <w:pPr>
        <w:shd w:val="clear" w:color="auto" w:fill="FFFFFF"/>
        <w:spacing w:after="27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Контроль за исполнением Заявок на возврат, направленных в Управление Федерального казначейства по Республике Башкортостан, возлагается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на  исполнителя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.</w:t>
      </w:r>
      <w:r w:rsidRPr="00E66185">
        <w:rPr>
          <w:rFonts w:ascii="Times New Roman" w:eastAsia="Times New Roman" w:hAnsi="Times New Roman" w:cs="Helvetica"/>
          <w:bCs/>
          <w:sz w:val="28"/>
          <w:szCs w:val="28"/>
          <w:lang w:eastAsia="ru-RU"/>
        </w:rPr>
        <w:t> 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4. Порядок уточнения (зачет) невыясненных поступлений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в) направляет оформленное на бумажном носителе уведомление на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утверждение  главе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сельского поселения.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Не позднее 11- </w:t>
      </w:r>
      <w:proofErr w:type="spell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го</w:t>
      </w:r>
      <w:proofErr w:type="spell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E66185" w:rsidRPr="00E66185" w:rsidRDefault="00E66185" w:rsidP="00E66185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Helvetica"/>
          <w:iCs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>       Контроль за исполнением уведомлений, направленных в Управление Федерального казначейства по Республике Башкортостан, возлагается на Исполнителя</w:t>
      </w:r>
      <w:r w:rsidRPr="00E66185">
        <w:rPr>
          <w:rFonts w:ascii="Times New Roman" w:eastAsia="Times New Roman" w:hAnsi="Times New Roman" w:cs="Helvetica"/>
          <w:iCs/>
          <w:sz w:val="28"/>
          <w:szCs w:val="28"/>
          <w:lang w:eastAsia="ru-RU"/>
        </w:rPr>
        <w:t>.</w:t>
      </w:r>
    </w:p>
    <w:p w:rsidR="00E66185" w:rsidRPr="00E66185" w:rsidRDefault="00E66185" w:rsidP="00E66185">
      <w:pPr>
        <w:shd w:val="clear" w:color="auto" w:fill="FFFFFF"/>
        <w:spacing w:after="270" w:line="0" w:lineRule="atLeast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5.Заключительные положения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осуществляется Исполнителем</w:t>
      </w:r>
      <w:r w:rsidRPr="00E66185">
        <w:rPr>
          <w:rFonts w:ascii="Times New Roman" w:eastAsia="Times New Roman" w:hAnsi="Times New Roman" w:cs="Helvetica"/>
          <w:iCs/>
          <w:sz w:val="28"/>
          <w:szCs w:val="28"/>
          <w:lang w:eastAsia="ru-RU"/>
        </w:rPr>
        <w:t>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Исполнитель 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 40101.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iCs/>
          <w:sz w:val="28"/>
          <w:szCs w:val="28"/>
          <w:lang w:eastAsia="ru-RU"/>
        </w:rPr>
        <w:t> 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ind w:left="3469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270" w:line="360" w:lineRule="atLeast"/>
        <w:ind w:left="3469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270" w:line="360" w:lineRule="atLeast"/>
        <w:ind w:left="3469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270" w:line="360" w:lineRule="atLeast"/>
        <w:ind w:left="3469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              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                                  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lastRenderedPageBreak/>
        <w:t xml:space="preserve">                                                 Приложение 1</w:t>
      </w:r>
    </w:p>
    <w:p w:rsidR="00E66185" w:rsidRPr="00E66185" w:rsidRDefault="00E66185" w:rsidP="00E66185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>                                                                                  к Порядку администрирования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доходов бюджета сельского 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сельсовет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муниципального района 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>Миякинский  район</w:t>
      </w:r>
      <w:proofErr w:type="gramEnd"/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left="900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закрепляемые за заместителем главного бухгалтера</w:t>
      </w:r>
    </w:p>
    <w:p w:rsidR="00E66185" w:rsidRPr="00E66185" w:rsidRDefault="00E66185" w:rsidP="00E66185">
      <w:pPr>
        <w:shd w:val="clear" w:color="auto" w:fill="FFFFFF"/>
        <w:spacing w:after="270" w:line="240" w:lineRule="auto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378"/>
      </w:tblGrid>
      <w:tr w:rsidR="00E66185" w:rsidRPr="00E66185" w:rsidTr="00301EA0">
        <w:trPr>
          <w:trHeight w:val="69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85" w:rsidRPr="00E66185" w:rsidRDefault="00E66185" w:rsidP="00E66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185" w:rsidRPr="00E66185" w:rsidRDefault="00E66185" w:rsidP="00E66185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дохода</w:t>
            </w:r>
          </w:p>
        </w:tc>
      </w:tr>
      <w:tr w:rsidR="00E66185" w:rsidRPr="00E66185" w:rsidTr="00301EA0">
        <w:trPr>
          <w:trHeight w:val="1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791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6185" w:rsidRPr="00E66185" w:rsidTr="00301EA0">
        <w:trPr>
          <w:trHeight w:val="7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791 1 13 01995 10 0000 130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E66185" w:rsidRPr="00E66185" w:rsidTr="00301EA0">
        <w:trPr>
          <w:trHeight w:val="7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791 1 13 02065 10 0000 130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эксплуатацией  имущества</w:t>
            </w:r>
            <w:proofErr w:type="gramEnd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поселений</w:t>
            </w:r>
          </w:p>
        </w:tc>
      </w:tr>
      <w:tr w:rsidR="00E66185" w:rsidRPr="00E66185" w:rsidTr="00301EA0">
        <w:trPr>
          <w:trHeight w:val="7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791 1 13 02995 10 0000 130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Прочие доходы от компенсации </w:t>
            </w:r>
            <w:proofErr w:type="gramStart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затрат  бюджетов</w:t>
            </w:r>
            <w:proofErr w:type="gramEnd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поселений</w:t>
            </w:r>
          </w:p>
        </w:tc>
      </w:tr>
      <w:tr w:rsidR="00E66185" w:rsidRPr="00E66185" w:rsidTr="00301EA0">
        <w:trPr>
          <w:trHeight w:val="79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791 1 16 23051 10 0000 140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E66185" w:rsidRPr="00E66185" w:rsidTr="00301EA0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791 1 16 23052 10 0000 140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E66185" w:rsidRPr="00E66185" w:rsidTr="00301EA0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791 1 16 32000 10 0000 140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E66185" w:rsidRPr="00E66185" w:rsidTr="00301EA0">
        <w:trPr>
          <w:trHeight w:val="3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791 1 16 90050 10 0000140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66185" w:rsidRPr="00E66185" w:rsidTr="00301EA0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791 1 17 01050 10 0000 180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E66185" w:rsidRPr="00E66185" w:rsidTr="00301EA0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791 1 17 05050 10 0000 180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E66185" w:rsidRPr="00E66185" w:rsidTr="00301EA0">
        <w:trPr>
          <w:trHeight w:val="32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tabs>
                <w:tab w:val="lef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791 1 17 14030 10 0000 180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0" w:lineRule="atLeast"/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66185" w:rsidRPr="00E66185" w:rsidTr="00301EA0">
        <w:trPr>
          <w:trHeight w:val="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791 2 02 01001 10 0000 151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791 2 02 01003 10 0000 151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791 2 02 02041 10 0000 151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2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02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02077 10 0007 151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Субсидии бюджетам поселений на </w:t>
            </w:r>
            <w:proofErr w:type="spellStart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софинансирование</w:t>
            </w:r>
            <w:proofErr w:type="spellEnd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791 2 02 02088 10 0001 151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791 2 02 02088 10 0002 151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791 2 02 02088 10 0004 151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791 2 02 02089 10 0001 151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  <w:t>791 2 02 02089 10 0002 151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  <w:t>791 2 02 02089 10 0004 151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Субсидии бюджетам поселений на обеспечение мероприятий по переселению граждан из аварийного жилищного фонда с учетом 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lastRenderedPageBreak/>
              <w:t>необходимости развития малоэтажного жилищного строительства за счет средств бюджетов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lastRenderedPageBreak/>
              <w:t>791 2 02 02102 10 0007 151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791 2 02 02109 10 0000 151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2 02 02999 10 7101 151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 xml:space="preserve">Прочие субсидии бюджетам сельских поселений на </w:t>
            </w:r>
            <w:proofErr w:type="spellStart"/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 xml:space="preserve"> расходных обязательств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2 02 02999 10 7104 151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Прочие субсидии бюджетам поселений на реализацию республиканской адресной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программы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 по проведению капитального ремонта многоквартирных домов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2 02 02999 10 7105 151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Прочие субсидии бюджетам поселений на </w:t>
            </w:r>
            <w:proofErr w:type="spellStart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 расходов по </w:t>
            </w:r>
            <w:proofErr w:type="gramStart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подготовке  объектов</w:t>
            </w:r>
            <w:proofErr w:type="gramEnd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 жилищно-коммунального хозяйства к работе осенне-зимний период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2 02 02999 10 7111 151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Прочие субсидии бюджетам поселений на финансирование комплексной программы Республики Башкортостан «Энергосбережение и повышение энергетической </w:t>
            </w:r>
            <w:proofErr w:type="gramStart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эффективности »</w:t>
            </w:r>
            <w:proofErr w:type="gramEnd"/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2 02 02999 10 7112 151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Прочие субсидии бюджетам поселений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2 02 02999 10 7113 151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0" w:lineRule="atLeast"/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2 02 02999 10 7114 151 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proofErr w:type="gramStart"/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 субсидии</w:t>
            </w:r>
            <w:proofErr w:type="gramEnd"/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бюджетам поселений на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премирование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победителей республиканского конкурса ''Самое благоустроенное городское (сельское) поселение Республики Башкортостан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2 02 02999 10 7115 151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Прочие субсидии бюджетам поселений на </w:t>
            </w:r>
            <w:proofErr w:type="spellStart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791 2 02 0301510 0000 151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791 2 02 04014 10 0000 151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791 2 02 04025 10 0000 151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Межбюджетные трансферты, передаваемые бюджетам поселений на </w:t>
            </w:r>
            <w:proofErr w:type="gramStart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комплектование  книжных</w:t>
            </w:r>
            <w:proofErr w:type="gramEnd"/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фондов библиотек муниципальных образований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7912 02 04999 10 7501 151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7912 02 04999 10 7502 151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на благоустройство территорий </w:t>
            </w:r>
            <w:proofErr w:type="gramStart"/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 пунктов</w:t>
            </w:r>
            <w:proofErr w:type="gramEnd"/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поселений</w:t>
            </w:r>
          </w:p>
        </w:tc>
      </w:tr>
      <w:tr w:rsidR="00E66185" w:rsidRPr="00E66185" w:rsidTr="00301EA0">
        <w:trPr>
          <w:trHeight w:val="13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791 2 02 04999 10 7503 151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осуществление дорожной деятельности в границах поселений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791 2 02 04999 10 7505 151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поселений на премирование победителей республиканского конкурса «Лучший многоквартирный дом»</w:t>
            </w:r>
          </w:p>
        </w:tc>
      </w:tr>
      <w:tr w:rsidR="00E66185" w:rsidRPr="00E66185" w:rsidTr="00301EA0">
        <w:trPr>
          <w:trHeight w:val="11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val="en-US" w:eastAsia="ru-RU"/>
              </w:rPr>
              <w:t xml:space="preserve">791 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2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02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 xml:space="preserve"> 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090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val="en-US" w:eastAsia="ru-RU"/>
              </w:rPr>
              <w:t>5</w:t>
            </w:r>
            <w:r w:rsidRPr="00E66185">
              <w:rPr>
                <w:rFonts w:ascii="Times New Roman" w:eastAsia="Times New Roman" w:hAnsi="Times New Roman" w:cs="TimesNewRomanPSMT"/>
                <w:sz w:val="28"/>
                <w:szCs w:val="28"/>
                <w:lang w:eastAsia="ru-RU"/>
              </w:rPr>
              <w:t>4 10 7301 151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8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791 2 08 05000 10 0000 180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  <w:t>791 2 18 05010 10 0000 151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7</w:t>
            </w: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1 2 18 05020 10 0000 151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6"/>
                <w:szCs w:val="26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  <w:t xml:space="preserve">791 2 18 05010 10 0000 180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Доходы бюджетов поселений от возврата бюджетными учреждениями остатков субсидий прошлых лет</w:t>
            </w:r>
            <w:r w:rsidRPr="00E66185">
              <w:rPr>
                <w:rFonts w:ascii="TimesNewRomanPSMT" w:eastAsia="Times New Roman" w:hAnsi="TimesNewRomanPSMT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791 2 18 05020 10 0000 180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 New Roman"/>
                <w:sz w:val="28"/>
                <w:szCs w:val="20"/>
                <w:lang w:eastAsia="ru-RU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791 2 18 05030 10 0000 180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 New Roman"/>
                <w:sz w:val="28"/>
                <w:szCs w:val="20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E66185" w:rsidRPr="00E66185" w:rsidTr="00301EA0">
        <w:trPr>
          <w:trHeight w:val="50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791 2 19 05000 10 0000 151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85" w:rsidRPr="00E66185" w:rsidRDefault="00E66185" w:rsidP="00E66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NewRomanPSMT"/>
                <w:sz w:val="28"/>
                <w:szCs w:val="20"/>
                <w:lang w:eastAsia="ru-RU"/>
              </w:rPr>
            </w:pPr>
            <w:r w:rsidRPr="00E66185">
              <w:rPr>
                <w:rFonts w:ascii="TimesNewRomanPSMT" w:eastAsia="Times New Roman" w:hAnsi="TimesNewRomanPSMT" w:cs="TimesNewRomanPSMT"/>
                <w:sz w:val="28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E66185" w:rsidRPr="00E66185" w:rsidRDefault="00E66185" w:rsidP="00E661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E66185" w:rsidRPr="00E66185" w:rsidRDefault="00E66185" w:rsidP="00E66185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Helvetica"/>
          <w:vanish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49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5"/>
      </w:tblGrid>
      <w:tr w:rsidR="00E66185" w:rsidRPr="00E66185" w:rsidTr="00301EA0">
        <w:tc>
          <w:tcPr>
            <w:tcW w:w="97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85" w:rsidRPr="00E66185" w:rsidRDefault="00E66185" w:rsidP="00E66185">
            <w:pPr>
              <w:spacing w:after="0" w:line="240" w:lineRule="auto"/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                 Приложение № 2</w:t>
            </w:r>
          </w:p>
          <w:p w:rsidR="00E66185" w:rsidRPr="00E66185" w:rsidRDefault="00E66185" w:rsidP="00E66185">
            <w:pPr>
              <w:spacing w:after="270" w:line="240" w:lineRule="auto"/>
              <w:jc w:val="right"/>
              <w:rPr>
                <w:rFonts w:ascii="Times New Roman" w:eastAsia="Times New Roman" w:hAnsi="Times New Roman" w:cs="Helvetica"/>
                <w:sz w:val="28"/>
                <w:szCs w:val="28"/>
                <w:lang w:eastAsia="ru-RU"/>
              </w:rPr>
            </w:pPr>
            <w:r w:rsidRPr="00E66185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  к Порядку администрирования доходов бюджета сельского поселения </w:t>
            </w:r>
            <w:r w:rsidRPr="00E66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Зильдяровский</w:t>
            </w:r>
            <w:r w:rsidRPr="00E66185">
              <w:rPr>
                <w:rFonts w:ascii="Times New Roman" w:eastAsia="Times New Roman" w:hAnsi="Times New Roman" w:cs="Helvetica"/>
                <w:sz w:val="24"/>
                <w:szCs w:val="24"/>
                <w:lang w:eastAsia="ru-RU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</w:tbl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Перечень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необходимых документов для проведения возврата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излишне уплаченной суммы платежа в бюджет сельского поселения </w:t>
      </w:r>
      <w:proofErr w:type="gramStart"/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сельсовет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муниципального района Миякинский район Республики Башкортостан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270" w:line="36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Для физических лиц: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1.        Заявление физического лица с просьбой о возврате денежных средств с указанием следующей информации: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полное имя, отчество и фамилия физического лица;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домашний адрес, телефон;       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паспортные данные: номер, серия, кем и когда выдан;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социальный номер (ИНН);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лицевой счет плательщика, открытый в кредитном учреждении (куда следует зачислить возвращаемые денежные средства);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- сумму возврата прописью и цифрами (в руб., коп.).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2. Платежный документ об уплате денежных средств в бюджет.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3. Документ, служащий основанием для возврата излишне уплаченных денежных средств (решение суда, документы, подтверждающие дважды оплаченные платежи в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бюджет,  иные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документы).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Для юридических лиц: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1. Заявление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юридического  лица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с просьбой о возврате денежных средств с указанием следующей информации: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полное наименование юридического лица;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почтовый адрес юридического лица, телефон;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ИНН (идентификационный номер налогоплательщика) и КПП (код причины постановки на учет) юридического лица;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 - номер расчетного счета, реквизиты кредитного </w:t>
      </w:r>
      <w:proofErr w:type="gramStart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учреждения,  где</w:t>
      </w:r>
      <w:proofErr w:type="gramEnd"/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открыт расчетный счет: наименование кредитного учреждения, корреспондентский счет, БИК;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 - сумму возврата прописью и цифрами (в руб., коп.).</w:t>
      </w:r>
    </w:p>
    <w:p w:rsidR="00E66185" w:rsidRPr="00E66185" w:rsidRDefault="00E66185" w:rsidP="00E66185">
      <w:pPr>
        <w:shd w:val="clear" w:color="auto" w:fill="FFFFFF"/>
        <w:spacing w:after="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>2. Копию платежного поручения о перечислении в бюджет суммы платежа, подлежащей возврату, подписанное    главным бухгалтером и заверенное печатью юридического лица.</w:t>
      </w:r>
    </w:p>
    <w:p w:rsidR="00E66185" w:rsidRPr="00E66185" w:rsidRDefault="00E66185" w:rsidP="00E66185">
      <w:pPr>
        <w:shd w:val="clear" w:color="auto" w:fill="FFFFFF"/>
        <w:spacing w:after="270" w:line="0" w:lineRule="atLeast"/>
        <w:ind w:firstLine="720"/>
        <w:jc w:val="both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>3.Документ,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ind w:firstLine="720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t xml:space="preserve">                                             </w:t>
      </w: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8"/>
          <w:szCs w:val="28"/>
          <w:lang w:eastAsia="ru-RU"/>
        </w:rPr>
        <w:lastRenderedPageBreak/>
        <w:t xml:space="preserve">                                              </w:t>
      </w: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>Приложение 3</w:t>
      </w:r>
    </w:p>
    <w:p w:rsidR="00E66185" w:rsidRPr="00E66185" w:rsidRDefault="00E66185" w:rsidP="00E66185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>                                                                                  к Порядку администрирования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доходов бюджета сельского 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E66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Зильдяровский</w:t>
      </w: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сельсовет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муниципального района </w:t>
      </w:r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gramStart"/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>Миякинский  район</w:t>
      </w:r>
      <w:proofErr w:type="gramEnd"/>
    </w:p>
    <w:p w:rsidR="00E66185" w:rsidRPr="00E66185" w:rsidRDefault="00E66185" w:rsidP="00E66185">
      <w:pPr>
        <w:shd w:val="clear" w:color="auto" w:fill="FFFFFF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E66185">
        <w:rPr>
          <w:rFonts w:ascii="Times New Roman" w:eastAsia="Times New Roman" w:hAnsi="Times New Roman" w:cs="Helvetica"/>
          <w:sz w:val="24"/>
          <w:szCs w:val="24"/>
          <w:lang w:eastAsia="ru-RU"/>
        </w:rPr>
        <w:t xml:space="preserve">                                                                                           Республики Башкортостан</w:t>
      </w:r>
    </w:p>
    <w:p w:rsidR="00E66185" w:rsidRPr="00E66185" w:rsidRDefault="00E66185" w:rsidP="00E66185">
      <w:pPr>
        <w:shd w:val="clear" w:color="auto" w:fill="FFFFFF"/>
        <w:spacing w:after="270" w:line="360" w:lineRule="atLeast"/>
        <w:ind w:firstLine="720"/>
        <w:jc w:val="right"/>
        <w:rPr>
          <w:rFonts w:ascii="Times New Roman" w:eastAsia="Times New Roman" w:hAnsi="Times New Roman" w:cs="Helvetica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СОГЛАСОВАНО:</w:t>
      </w:r>
    </w:p>
    <w:p w:rsidR="00E66185" w:rsidRPr="00E66185" w:rsidRDefault="00E66185" w:rsidP="00E661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    глава администрации СП                </w:t>
      </w:r>
    </w:p>
    <w:p w:rsidR="00E66185" w:rsidRPr="00E66185" w:rsidRDefault="00E66185" w:rsidP="00E661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E66185" w:rsidRPr="00E66185" w:rsidRDefault="00E66185" w:rsidP="00E66185">
      <w:pPr>
        <w:tabs>
          <w:tab w:val="left" w:pos="5040"/>
          <w:tab w:val="center" w:pos="6950"/>
        </w:tabs>
        <w:spacing w:after="0" w:line="240" w:lineRule="auto"/>
        <w:ind w:left="4320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lang w:eastAsia="ru-RU"/>
        </w:rPr>
        <w:tab/>
        <w:t xml:space="preserve">                       (Ф.И.О.)</w:t>
      </w:r>
    </w:p>
    <w:p w:rsidR="00E66185" w:rsidRPr="00E66185" w:rsidRDefault="00E66185" w:rsidP="00E661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 «____»___________2015 г.</w:t>
      </w:r>
    </w:p>
    <w:p w:rsidR="00E66185" w:rsidRPr="00E66185" w:rsidRDefault="00E66185" w:rsidP="00E66185">
      <w:pPr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lang w:eastAsia="ru-RU"/>
        </w:rPr>
        <w:t xml:space="preserve">      (подпись)</w:t>
      </w:r>
    </w:p>
    <w:p w:rsidR="00E66185" w:rsidRPr="00E66185" w:rsidRDefault="00E66185" w:rsidP="00E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E66185" w:rsidRPr="00E66185" w:rsidRDefault="00E66185" w:rsidP="00E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</w:t>
      </w:r>
    </w:p>
    <w:p w:rsidR="00E66185" w:rsidRPr="00E66185" w:rsidRDefault="00E66185" w:rsidP="00E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излишне уплаченной суммы платежа</w:t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доходов бюджета ___________________________________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Плательщик________________________________________________________</w:t>
      </w:r>
    </w:p>
    <w:p w:rsidR="00E66185" w:rsidRPr="00E66185" w:rsidRDefault="00E66185" w:rsidP="00E66185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E66185">
        <w:rPr>
          <w:rFonts w:ascii="Times New Roman" w:eastAsia="Times New Roman" w:hAnsi="Times New Roman" w:cs="Times New Roman"/>
          <w:lang w:eastAsia="ru-RU"/>
        </w:rPr>
        <w:t xml:space="preserve">(наименование учреждения, </w:t>
      </w:r>
      <w:proofErr w:type="gramStart"/>
      <w:r w:rsidRPr="00E66185">
        <w:rPr>
          <w:rFonts w:ascii="Times New Roman" w:eastAsia="Times New Roman" w:hAnsi="Times New Roman" w:cs="Times New Roman"/>
          <w:lang w:eastAsia="ru-RU"/>
        </w:rPr>
        <w:t>организации)/</w:t>
      </w:r>
      <w:proofErr w:type="gramEnd"/>
      <w:r w:rsidRPr="00E66185">
        <w:rPr>
          <w:rFonts w:ascii="Times New Roman" w:eastAsia="Times New Roman" w:hAnsi="Times New Roman" w:cs="Times New Roman"/>
          <w:lang w:eastAsia="ru-RU"/>
        </w:rPr>
        <w:t>(фамилия, имя, отчество физического лица)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плательщика __________________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плательщика __________________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 _____________________________________</w:t>
      </w:r>
    </w:p>
    <w:p w:rsidR="00E66185" w:rsidRPr="00E66185" w:rsidRDefault="00E66185" w:rsidP="00E6618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Pr="00E66185">
        <w:rPr>
          <w:rFonts w:ascii="Times New Roman" w:eastAsia="Times New Roman" w:hAnsi="Times New Roman" w:cs="Times New Roman"/>
          <w:lang w:eastAsia="ru-RU"/>
        </w:rPr>
        <w:t>(номер и серия паспорта, кем и когда выдан)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муниципального района в размере ___________________________________________________________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1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(сумма прописью)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_______________________________________________рублей _____ копеек.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проверки, проведенной МКУ «Централизованная бухгалтерия» принято решение о возврате плательщику указанной суммы. </w:t>
      </w:r>
    </w:p>
    <w:p w:rsidR="00E66185" w:rsidRPr="00E66185" w:rsidRDefault="00E66185" w:rsidP="00E661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- главный бухгалтер    _____________     ______________</w:t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618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  <w:proofErr w:type="gramStart"/>
      <w:r w:rsidRPr="00E66185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E66185">
        <w:rPr>
          <w:rFonts w:ascii="Times New Roman" w:eastAsia="Times New Roman" w:hAnsi="Times New Roman" w:cs="Times New Roman"/>
          <w:lang w:eastAsia="ru-RU"/>
        </w:rPr>
        <w:t>подпись)</w:t>
      </w:r>
      <w:r w:rsidRPr="00E66185">
        <w:rPr>
          <w:rFonts w:ascii="Times New Roman" w:eastAsia="Times New Roman" w:hAnsi="Times New Roman" w:cs="Times New Roman"/>
          <w:lang w:eastAsia="ru-RU"/>
        </w:rPr>
        <w:tab/>
        <w:t xml:space="preserve">                        (Ф.И.О.)</w:t>
      </w:r>
      <w:r w:rsidRPr="00E661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E66185" w:rsidRPr="00E66185" w:rsidRDefault="00E66185" w:rsidP="00E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185" w:rsidRPr="00E66185" w:rsidRDefault="00E66185" w:rsidP="00E661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85" w:rsidRPr="00E66185" w:rsidRDefault="00E66185" w:rsidP="00E66185">
      <w:pPr>
        <w:shd w:val="clear" w:color="auto" w:fill="FFFFFF"/>
        <w:spacing w:after="270" w:line="360" w:lineRule="atLeast"/>
        <w:rPr>
          <w:rFonts w:eastAsia="Times New Roman" w:cs="Helvetica"/>
          <w:color w:val="616161"/>
          <w:sz w:val="21"/>
          <w:szCs w:val="21"/>
          <w:lang w:eastAsia="ru-RU"/>
        </w:rPr>
      </w:pPr>
    </w:p>
    <w:p w:rsidR="00327B78" w:rsidRDefault="00327B78">
      <w:bookmarkStart w:id="0" w:name="_GoBack"/>
      <w:bookmarkEnd w:id="0"/>
    </w:p>
    <w:sectPr w:rsidR="00327B78" w:rsidSect="0036133B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85"/>
    <w:rsid w:val="00327B78"/>
    <w:rsid w:val="00E6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4B647-4CD8-4918-9FCC-B4DCB109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3482</Words>
  <Characters>19851</Characters>
  <Application>Microsoft Office Word</Application>
  <DocSecurity>0</DocSecurity>
  <Lines>165</Lines>
  <Paragraphs>46</Paragraphs>
  <ScaleCrop>false</ScaleCrop>
  <Company/>
  <LinksUpToDate>false</LinksUpToDate>
  <CharactersWithSpaces>23287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2015-01-27T06:58:00Z</dcterms:created>
  <dcterms:modified xsi:type="dcterms:W3CDTF">2015-01-27T06:58:00Z</dcterms:modified>
</cp:coreProperties>
</file>